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5BD1" w14:textId="77777777" w:rsidR="00EC59FD" w:rsidRPr="003D1527" w:rsidRDefault="00231EA7" w:rsidP="00EC59FD">
      <w:pPr>
        <w:shd w:val="clear" w:color="auto" w:fill="FFFFFF"/>
        <w:spacing w:before="100" w:beforeAutospacing="1" w:after="100" w:afterAutospacing="1" w:line="240" w:lineRule="auto"/>
        <w:ind w:left="644"/>
        <w:contextualSpacing w:val="0"/>
        <w:rPr>
          <w:rFonts w:asciiTheme="minorHAnsi" w:eastAsia="Times New Roman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Inovovaný formát </w:t>
      </w:r>
      <w:r w:rsidR="003D1527" w:rsidRPr="003D1527">
        <w:rPr>
          <w:rFonts w:asciiTheme="minorHAnsi" w:eastAsia="Times New Roman" w:hAnsiTheme="minorHAnsi" w:cstheme="minorHAnsi"/>
          <w:b/>
          <w:sz w:val="28"/>
          <w:szCs w:val="28"/>
        </w:rPr>
        <w:t>SZZ z pedagogiky, psychologie a didaktiky anglického jazyka</w:t>
      </w:r>
    </w:p>
    <w:p w14:paraId="7B234DB8" w14:textId="77777777" w:rsidR="009507A2" w:rsidRDefault="009507A2" w:rsidP="003D1527">
      <w:pPr>
        <w:pStyle w:val="Default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V této části státní závěrečné zkoušky student/-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prokazuje schopnost propojit a syntetizovat poznatky oborové didaktiky a základních pedagogických a psychologických disciplín a začlenit je do určitého teoretického výkladového rámce (či více rámců) při řešení konkrétních výukových situací. </w:t>
      </w:r>
    </w:p>
    <w:p w14:paraId="14698229" w14:textId="77777777" w:rsidR="009507A2" w:rsidRDefault="009507A2" w:rsidP="003D1527">
      <w:pPr>
        <w:shd w:val="clear" w:color="auto" w:fill="FFFFFF"/>
        <w:spacing w:before="100" w:beforeAutospacing="1" w:after="120" w:line="240" w:lineRule="auto"/>
        <w:ind w:left="709"/>
        <w:contextualSpacing w:val="0"/>
        <w:jc w:val="both"/>
      </w:pPr>
      <w:r>
        <w:t xml:space="preserve">Praktický rámec aplikace těchto poznatků představuje buď </w:t>
      </w:r>
      <w:r w:rsidRPr="003D1527">
        <w:rPr>
          <w:i/>
        </w:rPr>
        <w:t>příprava na konkrétní hodinu</w:t>
      </w:r>
      <w:r>
        <w:t xml:space="preserve">, která byla odučena a písemná reflexe této hodiny </w:t>
      </w:r>
      <w:r w:rsidR="00017D84">
        <w:t>(</w:t>
      </w:r>
      <w:r>
        <w:t xml:space="preserve">nebo </w:t>
      </w:r>
      <w:r w:rsidRPr="003D1527">
        <w:rPr>
          <w:i/>
        </w:rPr>
        <w:t>videonahrávka vyučovací hodiny</w:t>
      </w:r>
      <w:r>
        <w:t xml:space="preserve"> doplněná písemnou reflexí</w:t>
      </w:r>
      <w:r w:rsidR="00017D84">
        <w:t>)</w:t>
      </w:r>
      <w:r>
        <w:t xml:space="preserve"> a </w:t>
      </w:r>
      <w:r w:rsidR="003D1527">
        <w:t xml:space="preserve">studentské </w:t>
      </w:r>
      <w:r>
        <w:t>portfolio (přípravy, seminární práce</w:t>
      </w:r>
      <w:r w:rsidR="003D1527">
        <w:t>, portfoliové úkoly</w:t>
      </w:r>
      <w:r>
        <w:t xml:space="preserve"> atd.). S těmito materiály studující pracuje při přípravě na ústní zkoušku. </w:t>
      </w:r>
    </w:p>
    <w:p w14:paraId="2EB30B2E" w14:textId="77777777" w:rsidR="009507A2" w:rsidRPr="00CF25EA" w:rsidRDefault="009507A2" w:rsidP="003D1527">
      <w:pPr>
        <w:shd w:val="clear" w:color="auto" w:fill="FFFFFF"/>
        <w:spacing w:before="100" w:beforeAutospacing="1" w:after="120" w:line="240" w:lineRule="auto"/>
        <w:ind w:left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t>Student/</w:t>
      </w:r>
      <w:proofErr w:type="spellStart"/>
      <w:r>
        <w:t>ka</w:t>
      </w:r>
      <w:proofErr w:type="spellEnd"/>
      <w:r>
        <w:t xml:space="preserve"> si vylosuje jeden z okruhů a poté bude mít možnost 15minutové </w:t>
      </w:r>
      <w:r w:rsidRPr="00CF25EA">
        <w:t>přípravy</w:t>
      </w:r>
      <w:r w:rsidR="003D1527" w:rsidRPr="00CF25EA">
        <w:t>, během níž se bude snažit vhodně provázat vybraný okruh s přípravou na hodinu, nebo videonahrávkou a portfoliem</w:t>
      </w:r>
      <w:r w:rsidRPr="00CF25EA">
        <w:t xml:space="preserve">. Zkouška před komisí bude trvat 30 minut. </w:t>
      </w:r>
    </w:p>
    <w:p w14:paraId="25C0A49A" w14:textId="77777777" w:rsidR="009507A2" w:rsidRDefault="00110A75" w:rsidP="003D1527">
      <w:pPr>
        <w:shd w:val="clear" w:color="auto" w:fill="FFFFFF"/>
        <w:spacing w:before="100" w:beforeAutospacing="1" w:after="120" w:line="240" w:lineRule="auto"/>
        <w:ind w:left="709"/>
        <w:contextualSpacing w:val="0"/>
        <w:jc w:val="both"/>
      </w:pPr>
      <w:r>
        <w:t>Zkouška bude vedena v českém jazyce (pedagogika a psychologie) a v anglickém jazyce (dida</w:t>
      </w:r>
      <w:r w:rsidR="009507A2">
        <w:t>ktika anglického jazyka). Pokud si to student/</w:t>
      </w:r>
      <w:proofErr w:type="spellStart"/>
      <w:r w:rsidR="009507A2">
        <w:t>ka</w:t>
      </w:r>
      <w:proofErr w:type="spellEnd"/>
      <w:r w:rsidR="009507A2">
        <w:t xml:space="preserve"> zvolí, může být celá zkouška vedena v anglickém jazyce. </w:t>
      </w:r>
    </w:p>
    <w:p w14:paraId="6A7766F5" w14:textId="77777777" w:rsidR="00980B35" w:rsidRPr="00E2208C" w:rsidRDefault="00980B35" w:rsidP="003D1527">
      <w:pPr>
        <w:shd w:val="clear" w:color="auto" w:fill="FFFFFF"/>
        <w:spacing w:before="100" w:beforeAutospacing="1" w:after="120" w:line="240" w:lineRule="auto"/>
        <w:ind w:left="709"/>
        <w:contextualSpacing w:val="0"/>
        <w:jc w:val="both"/>
        <w:rPr>
          <w:color w:val="1F497D" w:themeColor="text2"/>
        </w:rPr>
      </w:pPr>
      <w:r w:rsidRPr="00E2208C">
        <w:rPr>
          <w:color w:val="1F497D" w:themeColor="text2"/>
        </w:rPr>
        <w:t>Původní otázky k SZZ z Pedagogiky i Psychologie zůstávají v platnosti. Tento dokument je proto nutné chápat jako návod pro přípravu a informaci o průběhu zkoušky.</w:t>
      </w:r>
      <w:r w:rsidR="00B530AD" w:rsidRPr="00E2208C">
        <w:rPr>
          <w:color w:val="1F497D" w:themeColor="text2"/>
        </w:rPr>
        <w:t xml:space="preserve"> </w:t>
      </w:r>
      <w:r w:rsidR="00B530AD">
        <w:rPr>
          <w:color w:val="1F497D" w:themeColor="text2"/>
        </w:rPr>
        <w:t>Pro všechny oblasti platí společný jmenovatel – znát hlavní oborová paradigmata a přístupy a dokázat popsat v jejich kontextu vlastní reflektovaný přístup k edukační praxi (</w:t>
      </w:r>
      <w:proofErr w:type="spellStart"/>
      <w:r w:rsidR="00B530AD">
        <w:rPr>
          <w:color w:val="1F497D" w:themeColor="text2"/>
        </w:rPr>
        <w:t>i.e</w:t>
      </w:r>
      <w:proofErr w:type="spellEnd"/>
      <w:r w:rsidR="00B530AD">
        <w:rPr>
          <w:color w:val="1F497D" w:themeColor="text2"/>
        </w:rPr>
        <w:t xml:space="preserve">. </w:t>
      </w:r>
      <w:proofErr w:type="spellStart"/>
      <w:r w:rsidR="00B530AD">
        <w:rPr>
          <w:color w:val="1F497D" w:themeColor="text2"/>
        </w:rPr>
        <w:t>nature</w:t>
      </w:r>
      <w:proofErr w:type="spellEnd"/>
      <w:r w:rsidR="00B530AD">
        <w:rPr>
          <w:color w:val="1F497D" w:themeColor="text2"/>
        </w:rPr>
        <w:t xml:space="preserve"> – </w:t>
      </w:r>
      <w:proofErr w:type="spellStart"/>
      <w:r w:rsidR="00B530AD">
        <w:rPr>
          <w:color w:val="1F497D" w:themeColor="text2"/>
        </w:rPr>
        <w:t>nurture</w:t>
      </w:r>
      <w:proofErr w:type="spellEnd"/>
      <w:r w:rsidR="00B530AD">
        <w:rPr>
          <w:color w:val="1F497D" w:themeColor="text2"/>
        </w:rPr>
        <w:t>, behaviorální, humanistické či konstruktivistické přístupy atd.)</w:t>
      </w:r>
    </w:p>
    <w:p w14:paraId="01B5BBFF" w14:textId="77777777" w:rsidR="009507A2" w:rsidRDefault="009507A2" w:rsidP="003D1527">
      <w:pPr>
        <w:shd w:val="clear" w:color="auto" w:fill="FFFFFF"/>
        <w:spacing w:before="100" w:beforeAutospacing="1" w:after="120" w:line="240" w:lineRule="auto"/>
        <w:ind w:left="709"/>
        <w:contextualSpacing w:val="0"/>
        <w:jc w:val="both"/>
      </w:pPr>
      <w:r>
        <w:t xml:space="preserve">Hodnocena bude </w:t>
      </w:r>
      <w:r w:rsidRPr="00033BB4">
        <w:rPr>
          <w:b/>
        </w:rPr>
        <w:t xml:space="preserve">dvěma </w:t>
      </w:r>
      <w:r>
        <w:t>známkami:</w:t>
      </w:r>
    </w:p>
    <w:p w14:paraId="33F9C3D5" w14:textId="77777777" w:rsidR="009507A2" w:rsidRDefault="009507A2" w:rsidP="003D1527">
      <w:pPr>
        <w:pStyle w:val="Odstavecseseznamem"/>
        <w:numPr>
          <w:ilvl w:val="0"/>
          <w:numId w:val="37"/>
        </w:numPr>
        <w:shd w:val="clear" w:color="auto" w:fill="FFFFFF"/>
        <w:spacing w:before="100" w:beforeAutospacing="1" w:after="120" w:line="240" w:lineRule="auto"/>
        <w:contextualSpacing w:val="0"/>
        <w:jc w:val="both"/>
      </w:pPr>
      <w:r>
        <w:t>Pedagogika a psychologie</w:t>
      </w:r>
    </w:p>
    <w:p w14:paraId="0FDAA3F1" w14:textId="104F43C6" w:rsidR="009507A2" w:rsidRDefault="009507A2" w:rsidP="003D1527">
      <w:pPr>
        <w:pStyle w:val="Odstavecseseznamem"/>
        <w:numPr>
          <w:ilvl w:val="0"/>
          <w:numId w:val="37"/>
        </w:numPr>
        <w:shd w:val="clear" w:color="auto" w:fill="FFFFFF"/>
        <w:spacing w:before="100" w:beforeAutospacing="1" w:after="120" w:line="240" w:lineRule="auto"/>
        <w:contextualSpacing w:val="0"/>
        <w:jc w:val="both"/>
      </w:pPr>
      <w:r>
        <w:t>Didaktika anglického jazyka</w:t>
      </w:r>
      <w:r w:rsidR="00CF25EA">
        <w:t xml:space="preserve"> </w:t>
      </w:r>
      <w:r w:rsidR="00017D84">
        <w:t>(tato známka bude součásti celkového hodnocení části Anglický jazyk a literatura s didaktikou)</w:t>
      </w:r>
    </w:p>
    <w:p w14:paraId="51D00BB2" w14:textId="77777777" w:rsidR="009507A2" w:rsidRDefault="009507A2" w:rsidP="00033BB4">
      <w:pPr>
        <w:shd w:val="clear" w:color="auto" w:fill="FFFFFF"/>
        <w:spacing w:after="120" w:line="240" w:lineRule="auto"/>
        <w:ind w:left="709"/>
        <w:contextualSpacing w:val="0"/>
        <w:jc w:val="both"/>
      </w:pPr>
      <w:r>
        <w:t xml:space="preserve">Hodnocení bude kriteriální, seznamy kritérií pro jednotlivé disciplíny jsou </w:t>
      </w:r>
      <w:r w:rsidR="00017D84">
        <w:t xml:space="preserve">uvedeny </w:t>
      </w:r>
      <w:r>
        <w:t>v příloze 1</w:t>
      </w:r>
      <w:r w:rsidR="003D1527">
        <w:t xml:space="preserve"> a 2</w:t>
      </w:r>
      <w:r>
        <w:t xml:space="preserve">. </w:t>
      </w:r>
    </w:p>
    <w:p w14:paraId="355D9FE1" w14:textId="77777777" w:rsidR="009507A2" w:rsidRDefault="009507A2" w:rsidP="00033BB4">
      <w:pPr>
        <w:shd w:val="clear" w:color="auto" w:fill="FFFFFF"/>
        <w:spacing w:after="120" w:line="240" w:lineRule="auto"/>
        <w:ind w:left="709"/>
        <w:contextualSpacing w:val="0"/>
        <w:jc w:val="both"/>
      </w:pPr>
      <w:r>
        <w:t>Předpokládá se, že si každý/-á student/-</w:t>
      </w:r>
      <w:proofErr w:type="spellStart"/>
      <w:r>
        <w:t>ka</w:t>
      </w:r>
      <w:proofErr w:type="spellEnd"/>
      <w:r>
        <w:t xml:space="preserve"> v přípravě na zkoušku zpracuje níže uvedené okruhy svým osobitým způsobem. Prakticky to např. znamená, že některým tématům zařazeným do okruhu se bude věnovat detailněji, že vyjádří svůj osobní názor a argumenty, proč ho/ji určitý teoretický přístup oslovuje více než jiný a považuje je za přínosné pro řešení konkrétní výukové situace. </w:t>
      </w:r>
    </w:p>
    <w:p w14:paraId="63CB4A03" w14:textId="77777777" w:rsidR="009507A2" w:rsidRDefault="009507A2" w:rsidP="00033BB4">
      <w:pPr>
        <w:shd w:val="clear" w:color="auto" w:fill="FFFFFF"/>
        <w:spacing w:after="120" w:line="240" w:lineRule="auto"/>
        <w:ind w:left="709"/>
        <w:contextualSpacing w:val="0"/>
        <w:jc w:val="both"/>
      </w:pPr>
      <w:r>
        <w:t xml:space="preserve">Pro oblast </w:t>
      </w:r>
      <w:r w:rsidRPr="009507A2">
        <w:rPr>
          <w:b/>
        </w:rPr>
        <w:t>psychologie</w:t>
      </w:r>
      <w:r>
        <w:t xml:space="preserve"> je závazným požadavkem, aby </w:t>
      </w:r>
      <w:proofErr w:type="spellStart"/>
      <w:r>
        <w:t>studentk</w:t>
      </w:r>
      <w:proofErr w:type="spellEnd"/>
      <w:r>
        <w:t>/</w:t>
      </w:r>
      <w:proofErr w:type="spellStart"/>
      <w:r>
        <w:t>ka</w:t>
      </w:r>
      <w:proofErr w:type="spellEnd"/>
      <w:r>
        <w:t xml:space="preserve"> u každého okruhu dokázal/-a stručně pojmenovat a výstižně charakterizovat (a) některou ze starších, klasických teorií a (b) novější či soudobé teoretické přístupy k danému tématu. Jako orientační ukazatel pro rozlišení starších a novějších teorií může sloužit i časové hledisko: v prvním případě půjde o ty, které vznikaly zpravidla do konce 70. let minulého století.</w:t>
      </w:r>
    </w:p>
    <w:p w14:paraId="08E335AD" w14:textId="77777777" w:rsidR="009507A2" w:rsidRPr="00F93DF1" w:rsidRDefault="009507A2" w:rsidP="00033BB4">
      <w:pPr>
        <w:shd w:val="clear" w:color="auto" w:fill="FFFFFF"/>
        <w:spacing w:after="120" w:line="240" w:lineRule="auto"/>
        <w:ind w:left="644"/>
        <w:contextualSpacing w:val="0"/>
        <w:rPr>
          <w:rFonts w:asciiTheme="minorHAnsi" w:eastAsia="Times New Roman" w:hAnsiTheme="minorHAnsi" w:cstheme="minorHAnsi"/>
          <w:sz w:val="24"/>
          <w:szCs w:val="24"/>
        </w:rPr>
      </w:pPr>
      <w:r>
        <w:lastRenderedPageBreak/>
        <w:t xml:space="preserve">Pro oblast </w:t>
      </w:r>
      <w:r w:rsidRPr="009507A2">
        <w:rPr>
          <w:b/>
        </w:rPr>
        <w:t>pedagogiky</w:t>
      </w:r>
      <w:r>
        <w:t xml:space="preserve"> si s</w:t>
      </w:r>
      <w:r w:rsidRPr="00F93DF1">
        <w:rPr>
          <w:rFonts w:asciiTheme="minorHAnsi" w:eastAsia="Times New Roman" w:hAnsiTheme="minorHAnsi" w:cstheme="minorHAnsi"/>
          <w:sz w:val="24"/>
          <w:szCs w:val="24"/>
        </w:rPr>
        <w:t>tudent se připraví na diskusi v uvedených okruzích tak, aby o nich mohl diskutovat s oporou o odborné publikace z oboru, výsledky pedagogického výzkumu a portfolio.</w:t>
      </w:r>
      <w:r w:rsidRPr="00F93DF1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Na příkladu vybraného příspěvku a studia odborného periodika uvede aktuálně řešená témata v pedagogických vědách.</w:t>
      </w:r>
    </w:p>
    <w:p w14:paraId="0F8EE67F" w14:textId="77777777" w:rsidR="009507A2" w:rsidRDefault="009507A2" w:rsidP="00033BB4">
      <w:pPr>
        <w:shd w:val="clear" w:color="auto" w:fill="FFFFFF"/>
        <w:spacing w:after="120" w:line="240" w:lineRule="auto"/>
        <w:ind w:left="644"/>
        <w:contextualSpacing w:val="0"/>
        <w:jc w:val="both"/>
      </w:pPr>
      <w:r>
        <w:t xml:space="preserve">Pro oblast </w:t>
      </w:r>
      <w:r w:rsidRPr="009507A2">
        <w:rPr>
          <w:b/>
        </w:rPr>
        <w:t>didaktiky angličtiny</w:t>
      </w:r>
      <w:r>
        <w:t xml:space="preserve"> je důležité, aby studenti propojovali poznatky ze studia odborné literatury se svou dosavadní pedagogickou zkušeností, dokázali obojí kriticky zhodnotit a využít při formulaci vlastních přístupů k řešení oborově didaktické problematiky.</w:t>
      </w:r>
    </w:p>
    <w:p w14:paraId="782D55E6" w14:textId="77777777" w:rsidR="00E84962" w:rsidRPr="00F93DF1" w:rsidRDefault="00E84962" w:rsidP="00033BB4">
      <w:pPr>
        <w:shd w:val="clear" w:color="auto" w:fill="FFFFFF"/>
        <w:spacing w:before="100" w:beforeAutospacing="1" w:after="100" w:afterAutospacing="1" w:line="240" w:lineRule="auto"/>
        <w:ind w:left="142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93DF1">
        <w:rPr>
          <w:rFonts w:asciiTheme="minorHAnsi" w:eastAsia="Times New Roman" w:hAnsiTheme="minorHAnsi" w:cstheme="minorHAnsi"/>
          <w:b/>
          <w:sz w:val="24"/>
          <w:szCs w:val="24"/>
        </w:rPr>
        <w:t xml:space="preserve">Vymezení okruhů: </w:t>
      </w:r>
    </w:p>
    <w:tbl>
      <w:tblPr>
        <w:tblW w:w="14459" w:type="dxa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05"/>
        <w:gridCol w:w="4536"/>
      </w:tblGrid>
      <w:tr w:rsidR="0026263C" w:rsidRPr="00F93DF1" w14:paraId="1D704E4F" w14:textId="77777777" w:rsidTr="00033BB4">
        <w:tc>
          <w:tcPr>
            <w:tcW w:w="1418" w:type="dxa"/>
            <w:tcMar>
              <w:left w:w="115" w:type="dxa"/>
              <w:right w:w="115" w:type="dxa"/>
            </w:tcMar>
          </w:tcPr>
          <w:p w14:paraId="7E45487E" w14:textId="77777777" w:rsidR="0026263C" w:rsidRPr="00F93DF1" w:rsidRDefault="0026263C" w:rsidP="00605375">
            <w:pPr>
              <w:spacing w:after="24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Téma (okruh)</w:t>
            </w:r>
          </w:p>
        </w:tc>
        <w:tc>
          <w:tcPr>
            <w:tcW w:w="8505" w:type="dxa"/>
          </w:tcPr>
          <w:p w14:paraId="42FB185D" w14:textId="77777777" w:rsidR="0026263C" w:rsidRPr="00F93DF1" w:rsidRDefault="0026263C" w:rsidP="00B607E2">
            <w:pPr>
              <w:spacing w:after="24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Upřesnění ( </w:t>
            </w:r>
            <w:proofErr w:type="spellStart"/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Did</w:t>
            </w:r>
            <w:proofErr w:type="spellEnd"/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, </w:t>
            </w:r>
            <w:proofErr w:type="spellStart"/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Ped</w:t>
            </w:r>
            <w:proofErr w:type="spellEnd"/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, Psy)</w:t>
            </w:r>
          </w:p>
        </w:tc>
        <w:tc>
          <w:tcPr>
            <w:tcW w:w="4536" w:type="dxa"/>
            <w:tcMar>
              <w:left w:w="115" w:type="dxa"/>
              <w:right w:w="115" w:type="dxa"/>
            </w:tcMar>
          </w:tcPr>
          <w:p w14:paraId="35E274BD" w14:textId="77777777" w:rsidR="0026263C" w:rsidRPr="00F93DF1" w:rsidRDefault="0026263C" w:rsidP="00B607E2">
            <w:pPr>
              <w:spacing w:after="24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Aplikační úkol</w:t>
            </w:r>
          </w:p>
          <w:p w14:paraId="4BA53F0A" w14:textId="77777777" w:rsidR="0026263C" w:rsidRPr="00F93DF1" w:rsidRDefault="0026263C" w:rsidP="00B607E2">
            <w:pPr>
              <w:spacing w:after="240" w:line="240" w:lineRule="auto"/>
              <w:contextualSpacing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F93DF1">
              <w:rPr>
                <w:rFonts w:asciiTheme="minorHAnsi" w:eastAsia="Times New Roman" w:hAnsiTheme="minorHAnsi" w:cstheme="minorHAnsi"/>
                <w:sz w:val="28"/>
                <w:szCs w:val="28"/>
              </w:rPr>
              <w:t>Student si u zkoušky vybere jeden z úkolů</w:t>
            </w:r>
          </w:p>
        </w:tc>
      </w:tr>
      <w:tr w:rsidR="0026263C" w:rsidRPr="00F93DF1" w14:paraId="68338D0F" w14:textId="77777777" w:rsidTr="00033BB4">
        <w:trPr>
          <w:trHeight w:val="140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7878E0D9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UČITEL</w:t>
            </w:r>
          </w:p>
        </w:tc>
        <w:tc>
          <w:tcPr>
            <w:tcW w:w="8505" w:type="dxa"/>
          </w:tcPr>
          <w:p w14:paraId="5056CEDB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</w:p>
          <w:p w14:paraId="2D4A824C" w14:textId="3005EAA4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Foreign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teacher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-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knowledge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skills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Roles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teacher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from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controller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facilitator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Professional development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possibilites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reflective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practice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action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research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conferences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teacher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associations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networking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ins</w:t>
            </w:r>
            <w:r w:rsidR="00A85243">
              <w:rPr>
                <w:rFonts w:eastAsia="Times New Roman" w:cstheme="minorHAnsi"/>
                <w:color w:val="262626" w:themeColor="text1" w:themeTint="D9"/>
              </w:rPr>
              <w:t>-</w:t>
            </w:r>
            <w:r w:rsidRPr="00783F97">
              <w:rPr>
                <w:rFonts w:eastAsia="Times New Roman" w:cstheme="minorHAnsi"/>
                <w:color w:val="262626" w:themeColor="text1" w:themeTint="D9"/>
              </w:rPr>
              <w:t>ervice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training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).</w:t>
            </w:r>
          </w:p>
          <w:p w14:paraId="1E75762D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1B436AA6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Ukažte na vybraném záznamu ve Vašem pedagogickém deníku znaky reflektivního psaní. Vysvětlete, v čem vybraný záznam ne/přispěl k </w:t>
            </w:r>
            <w:r w:rsidR="00CF25EA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ašemu profesnímu učení.</w:t>
            </w:r>
          </w:p>
          <w:p w14:paraId="045F3508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Prezentujte a charakterizujte svoje profesní portfolio.</w:t>
            </w: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Popište na základě portfolia, jak si představujete dobrého učitele/učitelku, a jak se tato Vaše představa vyvíjela. </w:t>
            </w:r>
          </w:p>
          <w:p w14:paraId="53821566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Vyjmenujte různé způsoby motivace žáků ve výuce a na vybraném příkladu ilustrujte způsob jejich aplikace.</w:t>
            </w:r>
          </w:p>
          <w:p w14:paraId="5CFD11F7" w14:textId="77777777" w:rsidR="0026263C" w:rsidRPr="00CC4E67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Uveďte příklady efektivního řízení třídy, kterým můžete předcházet vyrušování žáků. Ilustrujte použití některých opatření v praxi.</w:t>
            </w:r>
          </w:p>
          <w:p w14:paraId="73A70B2B" w14:textId="77777777" w:rsidR="00CC4E67" w:rsidRPr="00F93DF1" w:rsidRDefault="00CC4E67" w:rsidP="00CC4E67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>Vysvětlete, jaké formy moci (a v jakých kontextech) chcete do vaší výuky více zařazovat a jakým způsobem.</w:t>
            </w:r>
          </w:p>
          <w:p w14:paraId="407BCB50" w14:textId="41A473D9" w:rsidR="00CC4E67" w:rsidRPr="00F93DF1" w:rsidRDefault="00CC4E67" w:rsidP="00CC4E67">
            <w:pPr>
              <w:pStyle w:val="Odstavecseseznamem"/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76322E1C" w14:textId="77777777" w:rsidTr="00033BB4">
        <w:trPr>
          <w:trHeight w:val="14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1CB75FDA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41E4FB26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0883A930" w14:textId="094DFB76" w:rsidR="0026263C" w:rsidRPr="00F93DF1" w:rsidRDefault="0026263C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Osobnost pedagoga - jeho profesní kompetence</w:t>
            </w:r>
            <w:r w:rsidR="0099460E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rozvoj - p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edagog jako reflektující praktik. </w:t>
            </w:r>
          </w:p>
          <w:p w14:paraId="481EF915" w14:textId="77777777" w:rsidR="00EA451D" w:rsidRDefault="00EA451D" w:rsidP="00EA451D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2AB40D6E" w14:textId="4F63F0F0" w:rsidR="0026263C" w:rsidRPr="00F93DF1" w:rsidRDefault="0026263C" w:rsidP="00EA451D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Kázeň a svoboda ve výchově</w:t>
            </w:r>
            <w:r w:rsidR="00EA451D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 autorita ve výchově.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Otázky školní kázně </w:t>
            </w:r>
            <w:r w:rsidR="00EA451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a moci ve školní třídě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(analýza neukázněného chování, řešení výchovného konfliktu).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587406B5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349676A1" w14:textId="77777777" w:rsidTr="00033BB4">
        <w:trPr>
          <w:trHeight w:val="14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7E1FD8A3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6C6D7C8" w14:textId="77777777" w:rsidR="0026263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3550E328" w14:textId="71996662" w:rsidR="00980B35" w:rsidRPr="00E2208C" w:rsidRDefault="00980B35" w:rsidP="00F93DF1">
            <w:pPr>
              <w:spacing w:after="120"/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>Hlavní důraz je kladen na problematiku osobnosti učitele, vývoj osobnosti v čase a případné problémy či patologii spojené s osobností učitele</w:t>
            </w:r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. </w:t>
            </w:r>
          </w:p>
          <w:p w14:paraId="2C81B3AE" w14:textId="3AB6ED4A" w:rsidR="0026263C" w:rsidRPr="00E2208C" w:rsidRDefault="004C3AE8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O</w:t>
            </w:r>
            <w:r w:rsidR="0026263C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sobnost v psychologii. Teorie osobnosti. Jáství,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="0026263C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sebepojetí, sebeobraz.</w:t>
            </w:r>
          </w:p>
          <w:p w14:paraId="62C9249C" w14:textId="173717D3" w:rsidR="0026263C" w:rsidRPr="00E2208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Psychohygiena učitele, adaptace a maladaptace. Syndrom</w:t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vyhoření.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cr/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Učitel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jeho pedagogicko-psychologický přístup k</w:t>
            </w:r>
          </w:p>
          <w:p w14:paraId="083F8A71" w14:textId="6A0FB005" w:rsidR="00920F4F" w:rsidRPr="00F93DF1" w:rsidRDefault="0026263C" w:rsidP="004C3AE8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 xml:space="preserve">vychovávanému. Způsoby výchovy dítěte (žáka). </w:t>
            </w:r>
            <w:r w:rsidR="00920F4F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Sociální inteligence a sociální zralost. Interakční styl učitele. Náročné sociální situace. Sociální opora.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08AECA60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086B169E" w14:textId="77777777" w:rsidTr="00033BB4">
        <w:trPr>
          <w:trHeight w:val="1081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0B51C958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ŽÁK</w:t>
            </w:r>
          </w:p>
        </w:tc>
        <w:tc>
          <w:tcPr>
            <w:tcW w:w="8505" w:type="dxa"/>
          </w:tcPr>
          <w:p w14:paraId="5BA5FA0D" w14:textId="77777777" w:rsidR="00F93DF1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0976B0B3" w14:textId="77777777" w:rsidR="00783F97" w:rsidRPr="00783F97" w:rsidRDefault="00783F97" w:rsidP="00783F97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learner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–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individual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differences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learner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beliefs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, learning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styles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Multiple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Intelligences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learner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strategies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specific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learning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differences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).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Learner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autonomy and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learner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training</w:t>
            </w:r>
            <w:proofErr w:type="spellEnd"/>
            <w:r w:rsidRPr="00783F9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.</w:t>
            </w:r>
          </w:p>
          <w:p w14:paraId="29656CB0" w14:textId="77777777" w:rsidR="0026263C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3307757A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Na příkladu přípravy na výuku a její reflexe uveďte, jakým způsobem jste ve výuce uplatnili princip individualizace a diferenciace. </w:t>
            </w:r>
          </w:p>
          <w:p w14:paraId="4032A57C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48" w:hanging="357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Na pomůckách do výuky a na výukových materiálech doložte jejich diferenciaci.</w:t>
            </w:r>
          </w:p>
          <w:p w14:paraId="7203498E" w14:textId="77777777" w:rsidR="0026263C" w:rsidRPr="00F93DF1" w:rsidRDefault="0026263C" w:rsidP="00F93DF1">
            <w:pPr>
              <w:pStyle w:val="Odstavecseseznamem"/>
              <w:spacing w:after="120"/>
              <w:ind w:left="448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0329BFAE" w14:textId="45319834" w:rsidR="0026263C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48" w:hanging="357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Doložte diagnostiku vybraného žáka dle stanoveného edukačního cíle a volby vhodného diagnostického postupu.</w:t>
            </w:r>
          </w:p>
          <w:p w14:paraId="5CEC0F4D" w14:textId="77777777" w:rsidR="00CC4E67" w:rsidRPr="00CC4E67" w:rsidRDefault="00CC4E67" w:rsidP="00CC4E67">
            <w:pPr>
              <w:pStyle w:val="Odstavecseseznamem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7F050AD2" w14:textId="77777777" w:rsidR="00CC4E67" w:rsidRPr="00F93DF1" w:rsidRDefault="00CC4E67" w:rsidP="00CC4E67">
            <w:pPr>
              <w:pStyle w:val="Odstavecseseznamem"/>
              <w:numPr>
                <w:ilvl w:val="0"/>
                <w:numId w:val="36"/>
              </w:numPr>
              <w:spacing w:after="120"/>
              <w:ind w:left="453" w:hanging="357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Uveďte konkrétní ukázky obohacení učiva.</w:t>
            </w:r>
          </w:p>
          <w:p w14:paraId="7F7D0C07" w14:textId="2112B072" w:rsidR="00CC4E67" w:rsidRDefault="00CC4E67" w:rsidP="00CC4E67">
            <w:pPr>
              <w:pStyle w:val="Odstavecseseznamem"/>
              <w:spacing w:after="120"/>
              <w:ind w:left="453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Popište práci s nadaným žákem.</w:t>
            </w:r>
          </w:p>
          <w:p w14:paraId="78F2DEF5" w14:textId="21B40FDB" w:rsidR="00CC4E67" w:rsidRDefault="00CC4E67" w:rsidP="00CC4E67">
            <w:pPr>
              <w:pStyle w:val="Odstavecseseznamem"/>
              <w:numPr>
                <w:ilvl w:val="0"/>
                <w:numId w:val="36"/>
              </w:numPr>
              <w:spacing w:after="120"/>
              <w:ind w:left="453" w:hanging="357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Které dovednosti učitele jsou žádoucí pro vznik a rozvíjení kooperačního vztahu mezi učitelem a rodiči žáků?</w:t>
            </w:r>
          </w:p>
          <w:p w14:paraId="13D10C6B" w14:textId="59EFB178" w:rsidR="004D619B" w:rsidRPr="00E55048" w:rsidRDefault="004D619B" w:rsidP="00CC4E67">
            <w:pPr>
              <w:pStyle w:val="Odstavecseseznamem"/>
              <w:numPr>
                <w:ilvl w:val="0"/>
                <w:numId w:val="36"/>
              </w:numPr>
              <w:spacing w:after="120"/>
              <w:ind w:left="453" w:hanging="357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55048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Na profilu žáka ilustrujte možnosti rozvoje učebních strategií žáka v učení se anglickému jazyku. </w:t>
            </w:r>
          </w:p>
          <w:p w14:paraId="6507D7E8" w14:textId="77777777" w:rsidR="00CC4E67" w:rsidRPr="00F93DF1" w:rsidRDefault="00CC4E67" w:rsidP="00CC4E67">
            <w:pPr>
              <w:pStyle w:val="Odstavecseseznamem"/>
              <w:spacing w:after="120"/>
              <w:ind w:left="453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1AA8E87F" w14:textId="77777777" w:rsidR="00CC4E67" w:rsidRPr="00F93DF1" w:rsidRDefault="00CC4E67" w:rsidP="00CC4E67">
            <w:pPr>
              <w:pStyle w:val="Odstavecseseznamem"/>
              <w:spacing w:after="120"/>
              <w:ind w:left="448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73AB29AF" w14:textId="77777777" w:rsidR="0026263C" w:rsidRPr="00F93DF1" w:rsidRDefault="0026263C" w:rsidP="00F93DF1">
            <w:p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7E4FFBF5" w14:textId="77777777" w:rsidTr="00033BB4">
        <w:trPr>
          <w:trHeight w:val="30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0F4F4F24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09BE434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278E8DB6" w14:textId="750246F9" w:rsidR="0026263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Kvalita života žáka a respektování jeho potřeb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(žáci se speciálními vzdělávacími potřebami a nadaní).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 Možnosti diferencované výuky v současné škole. </w:t>
            </w:r>
          </w:p>
          <w:p w14:paraId="22DF4B79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6B5F17F4" w14:textId="77777777" w:rsidR="0026263C" w:rsidRPr="00F93DF1" w:rsidRDefault="0026263C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Pedagogická diagnostika žáka a školní třídy. Spolupráce s rodiči a pedagogicko-psychologickou poradnou, odbornými pracovišti. Význam a možnosti autodiagnostiky učitele pro rozvoj žáků i svůj profesní rozvoj.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3A26D1EB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3FEFB3B1" w14:textId="77777777" w:rsidTr="00033BB4">
        <w:trPr>
          <w:trHeight w:val="30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5D81F32B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D5A9A8D" w14:textId="77777777" w:rsidR="0026263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77E7FC92" w14:textId="77777777" w:rsidR="00980B35" w:rsidRPr="00E2208C" w:rsidRDefault="00980B35" w:rsidP="00F93DF1">
            <w:pPr>
              <w:spacing w:after="120"/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V tomto okruhu jde o postihnutí </w:t>
            </w:r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specifik </w:t>
            </w:r>
            <w:r w:rsidR="00920F4F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>ž</w:t>
            </w:r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ákovské studentské populace, psychohygieny a </w:t>
            </w:r>
            <w:r w:rsidR="00920F4F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individuálních </w:t>
            </w:r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>specifik, které jsou předpokladem inkluzivní práce s žáky / studenty</w:t>
            </w:r>
          </w:p>
          <w:p w14:paraId="4962D808" w14:textId="5BDFD43A" w:rsidR="00980B35" w:rsidRPr="00E2208C" w:rsidRDefault="004C3AE8" w:rsidP="004C3AE8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Specifika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stadia předškolního dětství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stadia školního dětství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dospívání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. Vývoj</w:t>
            </w:r>
            <w:r w:rsidR="00BF41E1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poznávacích procesů, sebepojetí a sebehodnocení, emocionalit</w:t>
            </w:r>
            <w:r w:rsidR="00BF41E1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y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 volní</w:t>
            </w:r>
            <w:r w:rsidR="00BF41E1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ch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procesů a autoregulace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.</w:t>
            </w:r>
            <w:r w:rsidR="00980B35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700696A7" w14:textId="77777777" w:rsidR="00920F4F" w:rsidRPr="00E2208C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Schopnosti (klasifikace, vlohy a schopnosti). Kreativita. Inteligence (vymezení, teorie,</w:t>
            </w:r>
          </w:p>
          <w:p w14:paraId="5431A5C8" w14:textId="45CEF07B" w:rsidR="00920F4F" w:rsidRPr="00E2208C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druhy, její stimulace). Poruchy vývoje intelektových funkcí (intelektová deteriorace, snížená</w:t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intelektová výkonnost v rámci mentální retardace).</w:t>
            </w:r>
          </w:p>
          <w:p w14:paraId="32DF02B7" w14:textId="77777777" w:rsidR="0026263C" w:rsidRPr="00E2208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Emoce a temperament. Aspekty emočních procesů a stavů. Teorie emocí. Klasifikace emocí.</w:t>
            </w:r>
          </w:p>
          <w:p w14:paraId="5FF8B59A" w14:textId="468897DF" w:rsidR="0026263C" w:rsidRPr="00E2208C" w:rsidRDefault="0026263C" w:rsidP="004C3AE8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Motivace</w:t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žáků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. Potřeby </w:t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žáků 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(teorie, klasifikace), </w:t>
            </w:r>
            <w:r w:rsidR="004C3AE8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jejich 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zájmy (klasifikace). Hodnoty, ideály. </w:t>
            </w:r>
          </w:p>
          <w:p w14:paraId="4FD7377C" w14:textId="27FFCA23" w:rsidR="00920F4F" w:rsidRPr="00F93DF1" w:rsidRDefault="004C3AE8" w:rsidP="004C3AE8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</w:t>
            </w:r>
            <w:r w:rsidR="0026263C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orální usuzování. </w:t>
            </w:r>
            <w:r w:rsidR="00920F4F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Sociální chování. Sociální inteligence a sociální zralost. Sociální kompetence. Náročné sociální situace. Sociální opora.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0E7880BE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78AB4D75" w14:textId="77777777" w:rsidTr="00033BB4">
        <w:trPr>
          <w:trHeight w:val="130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69CD6FC1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lastRenderedPageBreak/>
              <w:t>UČENÍ</w:t>
            </w:r>
          </w:p>
        </w:tc>
        <w:tc>
          <w:tcPr>
            <w:tcW w:w="8505" w:type="dxa"/>
          </w:tcPr>
          <w:p w14:paraId="094532E2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3EBDAD91" w14:textId="480BFEA2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Theories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second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acquisition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behaviorism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innatism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Monitor Model,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information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processing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social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interactionism</w:t>
            </w:r>
            <w:proofErr w:type="spellEnd"/>
            <w:r w:rsidR="007504DA">
              <w:rPr>
                <w:rFonts w:eastAsia="Times New Roman" w:cstheme="minorHAnsi"/>
                <w:color w:val="262626" w:themeColor="text1" w:themeTint="D9"/>
              </w:rPr>
              <w:t>)</w:t>
            </w:r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-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main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characteristics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particular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theories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authors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Implications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theories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second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proofErr w:type="gramStart"/>
            <w:r w:rsidRPr="00783F97">
              <w:rPr>
                <w:rFonts w:eastAsia="Times New Roman" w:cstheme="minorHAnsi"/>
                <w:color w:val="262626" w:themeColor="text1" w:themeTint="D9"/>
              </w:rPr>
              <w:t>acquisition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for</w:t>
            </w:r>
            <w:proofErr w:type="spellEnd"/>
            <w:proofErr w:type="gram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English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0DB866A0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7645BE85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Uveďte ze svých příprav ukázky edukačních cílů, jejich typologii, způsob práce se stanovenými cíli ve výuce a zpětnou vazbu, zda bylo cíle dosaženo.</w:t>
            </w:r>
          </w:p>
          <w:p w14:paraId="6CAAEF92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Doložte na své přípravě, jak bylo vaše plánování ovlivněno znalostmi teorie osvojování cizího jazyka.</w:t>
            </w:r>
          </w:p>
          <w:p w14:paraId="74B5AC99" w14:textId="77777777" w:rsidR="0026263C" w:rsidRPr="00F93DF1" w:rsidRDefault="0026263C" w:rsidP="00F93DF1">
            <w:p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297A9006" w14:textId="77777777" w:rsidTr="00033BB4">
        <w:trPr>
          <w:trHeight w:val="13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5EC786A6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278585F8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487131A4" w14:textId="54BE27E0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Cíle základního // středního vzdělávání, jejich taxonomie  a využití výukových cílů k řízení výuky a učení žáků.</w:t>
            </w:r>
            <w:r w:rsidR="00A429B9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Formativní hodnocení a sebehodnocení výsledků žáků na podporu jejich učení.</w:t>
            </w:r>
          </w:p>
          <w:p w14:paraId="398A4369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0848DD07" w14:textId="0E33D733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Autentické učení, jeho podstata a principy. Problémová metoda a problémové vyučování. Projektová výuka. Pedagogický pragmatismus a jeho představitelé</w:t>
            </w:r>
            <w:r w:rsidR="000F7834">
              <w:rPr>
                <w:rFonts w:asciiTheme="minorHAnsi" w:eastAsia="Times New Roman" w:hAnsiTheme="minorHAnsi" w:cstheme="minorHAnsi"/>
                <w:color w:val="262626" w:themeColor="text1" w:themeTint="D9"/>
              </w:rPr>
              <w:t>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6E540CC3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2CF60A4E" w14:textId="77777777" w:rsidTr="00033BB4">
        <w:trPr>
          <w:trHeight w:val="13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5DF40155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4E3FAD5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3D3F3571" w14:textId="3C4914C3" w:rsidR="004C3AE8" w:rsidRPr="004C3AE8" w:rsidRDefault="004C3AE8" w:rsidP="00F93DF1">
            <w:pPr>
              <w:spacing w:after="120"/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Procesy učení v současné psychologické perspektivě. Konstruktivistické a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>kognitivistické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 přístupy. Učení a emoce. Autoregulace učení. Učení ve formálních a informálních situacích. Strategie vedoucí k zájmu o učivo a posilující motivaci dětí.</w:t>
            </w:r>
          </w:p>
          <w:p w14:paraId="691ABF3A" w14:textId="6B3722CE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Učení a paměť. Druhy učení (habituace, senzibilizace, klasické podmiňování, instrumentální</w:t>
            </w:r>
          </w:p>
          <w:p w14:paraId="42270C08" w14:textId="4DB58C99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podmiňování, vtištění, explorační chování, sociální učení). Teorie učení</w:t>
            </w:r>
            <w:r w:rsidR="004C3AE8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 současné přístupy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. </w:t>
            </w:r>
          </w:p>
          <w:p w14:paraId="3C73A5DD" w14:textId="48DF9BA1" w:rsidR="0026263C" w:rsidRPr="00F93DF1" w:rsidRDefault="0026263C" w:rsidP="004C3AE8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Transfer a interference</w:t>
            </w:r>
          </w:p>
          <w:p w14:paraId="0EBEDC4D" w14:textId="660498AF" w:rsidR="0026263C" w:rsidRPr="00F93DF1" w:rsidRDefault="0026263C" w:rsidP="00E727FC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Psychodidaktika. Učení a kognitivní rozvoj</w:t>
            </w:r>
            <w:r w:rsidR="004C3AE8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v současné per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</w:t>
            </w:r>
            <w:r w:rsidR="004C3AE8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pektivě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: vytváření soustav představ a pojmů; učeni se řešení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m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problémů; senzomotorické učení a dovednosti; psychologická problematika strukturování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učiva, vyučovacích a učebních strategií.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4B162E2B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726A21CF" w14:textId="77777777" w:rsidTr="00033BB4">
        <w:trPr>
          <w:trHeight w:val="435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75F60E47" w14:textId="77777777" w:rsidR="0026263C" w:rsidRPr="00F93DF1" w:rsidRDefault="0026263C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PROCES VYUČOVÁNÍ</w:t>
            </w:r>
          </w:p>
        </w:tc>
        <w:tc>
          <w:tcPr>
            <w:tcW w:w="8505" w:type="dxa"/>
          </w:tcPr>
          <w:p w14:paraId="7B8E9F9E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298E6AE8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Methods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approaches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 ELT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traditional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methods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alternative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methods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communicative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approach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task-based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learning,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lexical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approach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, post-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methods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era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CLIL. </w:t>
            </w:r>
          </w:p>
          <w:p w14:paraId="57A81F85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67CE17F7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lastRenderedPageBreak/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materials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coursebook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set,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supplementary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materials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How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select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appropriate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coursebook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Advantages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disadvantages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coursebooks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published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 Great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Bri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>ta</w:t>
            </w:r>
            <w:r w:rsidRPr="00783F97">
              <w:rPr>
                <w:rFonts w:eastAsia="Times New Roman" w:cstheme="minorHAnsi"/>
                <w:color w:val="262626" w:themeColor="text1" w:themeTint="D9"/>
              </w:rPr>
              <w:t>in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in 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Czech Republic. </w:t>
            </w:r>
          </w:p>
          <w:p w14:paraId="687A5916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38B89296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Mother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tongue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 ELT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historical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development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current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approach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Role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translation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 ELT. </w:t>
            </w:r>
          </w:p>
          <w:p w14:paraId="1BDC460F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Modern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technologies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classroom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e-learning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6C785E73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60CC5A09" w14:textId="3E1181FC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>Popište strategie výuky, které využíváte v</w:t>
            </w:r>
            <w:r w:rsidR="00E55048">
              <w:rPr>
                <w:rFonts w:asciiTheme="minorHAnsi" w:eastAsia="Times New Roman" w:hAnsiTheme="minorHAnsi" w:cstheme="minorHAnsi"/>
                <w:color w:val="262626" w:themeColor="text1" w:themeTint="D9"/>
              </w:rPr>
              <w:t> 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praxi</w:t>
            </w:r>
            <w:r w:rsidR="00E55048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zdůvodněte svou kombinaci různých metod, forem a přístupů k výuce.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 xml:space="preserve">Na konkrétním příkladu ilustrujte způsob jejich využití při dosahování vybraných cílů. </w:t>
            </w:r>
          </w:p>
          <w:p w14:paraId="1AA6F9A4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Vysvětlete pojem učitelovo pojetí výuky a charakterizujte své pojetí výuky.</w:t>
            </w:r>
          </w:p>
          <w:p w14:paraId="7D4571E6" w14:textId="5B781DC9" w:rsidR="0026263C" w:rsidRPr="004D619B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Jak se odlišuje pedagogická komunikace v hromadném, skupinovém a individuálním vyučování?</w:t>
            </w:r>
          </w:p>
          <w:p w14:paraId="6C2F6CB4" w14:textId="77777777" w:rsidR="0026263C" w:rsidRPr="00F93DF1" w:rsidRDefault="0026263C" w:rsidP="00E55048">
            <w:pPr>
              <w:pStyle w:val="Odstavecseseznamem"/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572B40C3" w14:textId="77777777" w:rsidTr="00033BB4">
        <w:trPr>
          <w:trHeight w:val="43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6C9FFC1B" w14:textId="77777777" w:rsidR="0026263C" w:rsidRPr="00F93DF1" w:rsidRDefault="0026263C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0978607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5FFD9BE0" w14:textId="0EC97B61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Výukové strategie (deduktivní, induktivní a sociálně zprostředkovaná výuka), typy výuky. Vyučovací metody a kritéria výb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ěru metod ve vyučovacím procesu, organizační formy výuky.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1F51B858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1D19C4E3" w14:textId="1FF3741D" w:rsidR="0026263C" w:rsidRPr="00E2208C" w:rsidRDefault="000339ED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Kooperace v edukačních vztazích mezi učitelem a rodiči žáků (rodina, funkce rodiny, znaky funkční rodiny, postavení rodiny mezi výchovnými činiteli). Domácí příprava žáků na vyučování a domácí úkoly, individuální vzdělávání.</w:t>
            </w:r>
          </w:p>
          <w:p w14:paraId="00A305CC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0922019C" w14:textId="77777777" w:rsidR="0026263C" w:rsidRPr="00F93DF1" w:rsidRDefault="0026263C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Specifika pedagogické a výukové komunikace (IRF komunikační struktura, dialog ve výuce a dialogické vyučování, facilitace, rozhovor) podporující učení.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78A46E60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2BA9765B" w14:textId="77777777" w:rsidTr="00033BB4">
        <w:trPr>
          <w:trHeight w:val="43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31606004" w14:textId="77777777" w:rsidR="0026263C" w:rsidRPr="00F93DF1" w:rsidRDefault="0026263C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95057DD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2FE43501" w14:textId="7274A4E9" w:rsidR="007138E9" w:rsidRPr="007138E9" w:rsidRDefault="007138E9" w:rsidP="00F93DF1">
            <w:pPr>
              <w:spacing w:after="120"/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</w:pPr>
            <w:r w:rsidRPr="007138E9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Proces vyučování v psychologické perspektivě. </w:t>
            </w:r>
            <w:r w:rsidR="001E5725">
              <w:rPr>
                <w:rFonts w:asciiTheme="minorHAnsi" w:eastAsia="Times New Roman" w:hAnsiTheme="minorHAnsi" w:cstheme="minorHAnsi"/>
                <w:i/>
                <w:color w:val="262626" w:themeColor="text1" w:themeTint="D9"/>
              </w:rPr>
              <w:t xml:space="preserve"> </w:t>
            </w:r>
          </w:p>
          <w:p w14:paraId="7A478E07" w14:textId="0D55CE9E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Psychologická podstata a cíl výchovy. Výchova vybraných aspektů osobnosti: formování</w:t>
            </w:r>
          </w:p>
          <w:p w14:paraId="26208D18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zájmů, sebehodnocení a sebepojetí. Morální usuzování. Změny osobnosti a převýchova.</w:t>
            </w:r>
          </w:p>
          <w:p w14:paraId="49D19095" w14:textId="77777777" w:rsidR="00920F4F" w:rsidRPr="00F93DF1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Poznávací procesy. Senzorické procesy, vnímání. Imaginace (představy, fantazie).</w:t>
            </w:r>
          </w:p>
          <w:p w14:paraId="07A48D2F" w14:textId="77777777" w:rsidR="00920F4F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Pozornost (vymezení, typy, vlastnosti, poruchy).</w:t>
            </w:r>
          </w:p>
          <w:p w14:paraId="4EC8EA83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Sociální skupina (struktura, dynamika). Klasifikace skupin. Skupinové normy. Struktura</w:t>
            </w:r>
          </w:p>
          <w:p w14:paraId="0CD98467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pozic a vztahů ve skupině (klasifikace pozic ve skupině a skupinových -týmových rolí).</w:t>
            </w:r>
          </w:p>
          <w:p w14:paraId="0FB90A9C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Skupinové klima. Možnosti zkoumání struktury vztahů ve skupině a skupinového klimatu -</w:t>
            </w:r>
          </w:p>
          <w:p w14:paraId="48D8B613" w14:textId="77777777" w:rsidR="0026263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možnosti využití v pedagogické praxi. Sociální klima školy, sociální klima školní třídy.</w:t>
            </w:r>
          </w:p>
          <w:p w14:paraId="3C8934D2" w14:textId="5185CECD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76BC2A23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0B434DE3" w14:textId="77777777" w:rsidTr="00033BB4">
        <w:trPr>
          <w:trHeight w:val="205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1F2E3B6E" w14:textId="77777777" w:rsidR="0026263C" w:rsidRPr="00F93DF1" w:rsidRDefault="0026263C" w:rsidP="00F93DF1">
            <w:pPr>
              <w:pStyle w:val="Odstavecseseznamem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lastRenderedPageBreak/>
              <w:t>KURIKULUM</w:t>
            </w:r>
          </w:p>
        </w:tc>
        <w:tc>
          <w:tcPr>
            <w:tcW w:w="8505" w:type="dxa"/>
          </w:tcPr>
          <w:p w14:paraId="4BAAB18B" w14:textId="77777777" w:rsidR="0026263C" w:rsidRPr="00F93DF1" w:rsidRDefault="0026263C" w:rsidP="00F93DF1">
            <w:pPr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6E69FF61" w14:textId="77777777" w:rsid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Course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design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its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components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needs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analysis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setting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aims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syllabus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materials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list,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evaluation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course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evaluation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).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Lesson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planning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components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formal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lesson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plan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informal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planning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). </w:t>
            </w:r>
          </w:p>
          <w:p w14:paraId="73771CED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3B9DB77E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Literature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in ELT.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Rationale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for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using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authentic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literature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Selecting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appropriate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tasks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>. 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Using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different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types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texts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(eg.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short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stories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novels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poetry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Planning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activities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for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different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stages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(eg.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while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post).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Extensive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</w:p>
          <w:p w14:paraId="2C953F4E" w14:textId="77777777" w:rsid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74AA67B4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Language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l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earning and 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cultural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awareness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 . </w:t>
            </w:r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Big “C“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Culture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small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“ c“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culture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Whose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culture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are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in ELT?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Incorporating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cultural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elemen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>ts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into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 ELT.</w:t>
            </w:r>
          </w:p>
          <w:p w14:paraId="48595276" w14:textId="77777777" w:rsidR="0026263C" w:rsidRPr="00F93DF1" w:rsidRDefault="0026263C" w:rsidP="00F93DF1">
            <w:pPr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>
              <w:left w:w="115" w:type="dxa"/>
              <w:right w:w="115" w:type="dxa"/>
            </w:tcMar>
          </w:tcPr>
          <w:p w14:paraId="25BD4C44" w14:textId="51723965" w:rsidR="0026263C" w:rsidRPr="004D619B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</w:rPr>
              <w:t>Na příkladu svého plánu výuky AJ objasněte souvztažnost mezi výukovými obsahy, cíli, činnost</w:t>
            </w:r>
            <w:r w:rsidR="00CC4E67">
              <w:rPr>
                <w:rFonts w:asciiTheme="minorHAnsi" w:eastAsia="Times New Roman" w:hAnsiTheme="minorHAnsi" w:cstheme="minorHAnsi"/>
              </w:rPr>
              <w:t xml:space="preserve">mi žáků a jejich možnostmi.  </w:t>
            </w:r>
          </w:p>
          <w:p w14:paraId="2610A638" w14:textId="3655FB3B" w:rsidR="004D619B" w:rsidRPr="00E55048" w:rsidRDefault="004D619B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E55048">
              <w:rPr>
                <w:rFonts w:asciiTheme="minorHAnsi" w:hAnsiTheme="minorHAnsi" w:cstheme="minorHAnsi"/>
                <w:color w:val="000000" w:themeColor="text1"/>
              </w:rPr>
              <w:t>Na příkladu projektu roční výuky AJ v konkrétní třídě ilustrujte provázanost cílů, obsahu a hodnocení výuky AJ.</w:t>
            </w:r>
          </w:p>
          <w:p w14:paraId="6A23868C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Ilustrujte na příkladu průřezových témat RVP ZV hodnotovou dimenzi vzdělávání v současné škole.</w:t>
            </w:r>
          </w:p>
          <w:p w14:paraId="6FED8B63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Na příkladu ŠVP školy, kde jste praktikovali vysvětlete dvoustupňové kurikulum a poukažte na axiologickou dimenzi ŠVP.</w:t>
            </w:r>
          </w:p>
          <w:p w14:paraId="07094FB4" w14:textId="77777777" w:rsidR="0026263C" w:rsidRPr="00F93DF1" w:rsidRDefault="0026263C" w:rsidP="00F93DF1">
            <w:p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5D7FE45B" w14:textId="77777777" w:rsidTr="00033BB4">
        <w:trPr>
          <w:trHeight w:val="20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300FB85C" w14:textId="77777777" w:rsidR="0026263C" w:rsidRPr="00F93DF1" w:rsidRDefault="0026263C" w:rsidP="00F93DF1">
            <w:pPr>
              <w:pStyle w:val="Odstavecseseznamem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6620726B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05D25A47" w14:textId="40D2000A" w:rsidR="0026263C" w:rsidRPr="00F93DF1" w:rsidRDefault="00A429B9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Projektování výuky (ŠVP jako východisko pro projektování výuky; časový tematický plán a příprava na výukovou jednotku od výukových cílů přes výukové strategie 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</w:t>
            </w: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hodnocení splnění cílů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reflexe výuky)</w:t>
            </w: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. </w:t>
            </w:r>
          </w:p>
          <w:p w14:paraId="6C2803FB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562DA001" w14:textId="549B639A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Průřezová témata v RVP ZV a jejich im</w:t>
            </w:r>
            <w:r w:rsidR="00A429B9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plementace do školního kurikula, zejména hodnotová</w:t>
            </w:r>
            <w:r w:rsidR="00EA31A9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, globální </w:t>
            </w:r>
            <w:r w:rsidR="00A429B9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a etická výchova. </w:t>
            </w:r>
          </w:p>
          <w:p w14:paraId="17F3A338" w14:textId="71C1E0EB" w:rsidR="0026263C" w:rsidRPr="00F93DF1" w:rsidRDefault="00A429B9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>(</w:t>
            </w:r>
            <w:r w:rsidR="0026263C"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Hodnoty ve výchově, hodnoty a škola, hodnotová dimenze v kurikulu ZŠ a SŠ. Etická výchova. Historické konsekvence etické výchovy.</w:t>
            </w: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>)</w:t>
            </w:r>
          </w:p>
        </w:tc>
        <w:tc>
          <w:tcPr>
            <w:tcW w:w="4536" w:type="dxa"/>
            <w:vMerge/>
            <w:shd w:val="clear" w:color="auto" w:fill="auto"/>
            <w:tcMar>
              <w:left w:w="115" w:type="dxa"/>
              <w:right w:w="115" w:type="dxa"/>
            </w:tcMar>
          </w:tcPr>
          <w:p w14:paraId="78C94C45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2E9118DE" w14:textId="77777777" w:rsidTr="00033BB4">
        <w:trPr>
          <w:trHeight w:val="20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0E68697A" w14:textId="77777777" w:rsidR="0026263C" w:rsidRPr="00F93DF1" w:rsidRDefault="0026263C" w:rsidP="00F93DF1">
            <w:pPr>
              <w:pStyle w:val="Odstavecseseznamem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6A32ECE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59819F9E" w14:textId="77777777" w:rsidR="0026263C" w:rsidRDefault="0026263C" w:rsidP="00E727FC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Vnější podmínky jako determinanty vývoje dětí a dospívajících (vliv rodinné atmosféry a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jednotlivých členů rodiny, vztahy vrstevníků, působení školy, mimoškolní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="00E727FC"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vlivy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 typy rodičovské</w:t>
            </w:r>
            <w:r w:rsidR="00E727F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výchovy a její optimalizace).</w:t>
            </w:r>
          </w:p>
          <w:p w14:paraId="74B17B3E" w14:textId="65F0A20B" w:rsidR="00E727FC" w:rsidRPr="00F93DF1" w:rsidRDefault="00E727FC" w:rsidP="00E727FC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15" w:type="dxa"/>
              <w:right w:w="115" w:type="dxa"/>
            </w:tcMar>
          </w:tcPr>
          <w:p w14:paraId="57D20184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6B2935CD" w14:textId="77777777" w:rsidTr="00033BB4">
        <w:trPr>
          <w:trHeight w:val="575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0F73D66A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UČIVO</w:t>
            </w:r>
          </w:p>
        </w:tc>
        <w:tc>
          <w:tcPr>
            <w:tcW w:w="8505" w:type="dxa"/>
          </w:tcPr>
          <w:p w14:paraId="69F56B36" w14:textId="77777777" w:rsidR="0026263C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071ED422" w14:textId="4DB331ED" w:rsidR="00783F97" w:rsidRPr="00783F97" w:rsidRDefault="00EB2686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lastRenderedPageBreak/>
              <w:t>Receptive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skills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theory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practice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listening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</w:rPr>
              <w:t xml:space="preserve">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as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skill</w:t>
            </w:r>
            <w:r>
              <w:rPr>
                <w:rFonts w:eastAsia="Times New Roman" w:cstheme="minorHAnsi"/>
                <w:color w:val="262626" w:themeColor="text1" w:themeTint="D9"/>
              </w:rPr>
              <w:t>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listening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</w:rPr>
              <w:t xml:space="preserve">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texts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effective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listening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</w:rPr>
              <w:t xml:space="preserve">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strategies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-,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while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-, post-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activities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monitoring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progress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listening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testing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listening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reading</w:t>
            </w:r>
            <w:proofErr w:type="spellEnd"/>
            <w:r w:rsidR="00783F97">
              <w:rPr>
                <w:rFonts w:eastAsia="Times New Roman" w:cstheme="minorHAnsi"/>
                <w:color w:val="262626" w:themeColor="text1" w:themeTint="D9"/>
              </w:rPr>
              <w:t>.</w:t>
            </w:r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)  </w:t>
            </w:r>
          </w:p>
          <w:p w14:paraId="44BCC3D7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18B1DE62" w14:textId="6A17B348" w:rsidR="00783F97" w:rsidRPr="00783F97" w:rsidRDefault="00EB2686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Productive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skills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theory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practice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speaking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writing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as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sk</w:t>
            </w:r>
            <w:r>
              <w:rPr>
                <w:rFonts w:eastAsia="Times New Roman" w:cstheme="minorHAnsi"/>
                <w:color w:val="262626" w:themeColor="text1" w:themeTint="D9"/>
              </w:rPr>
              <w:t>ills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spoken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production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spoken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interaction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types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activities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pre-communicative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communicative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activities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,</w:t>
            </w:r>
            <w:r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process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writing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creative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writing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,</w:t>
            </w:r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giving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 feedback on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speaking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writing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 xml:space="preserve">, testing </w:t>
            </w:r>
            <w:proofErr w:type="spellStart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speaking</w:t>
            </w:r>
            <w:proofErr w:type="spellEnd"/>
            <w:r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262626" w:themeColor="text1" w:themeTint="D9"/>
              </w:rPr>
              <w:t>writing</w:t>
            </w:r>
            <w:proofErr w:type="spellEnd"/>
            <w:r w:rsidR="00783F97" w:rsidRPr="00783F97">
              <w:rPr>
                <w:rFonts w:eastAsia="Times New Roman" w:cstheme="minorHAnsi"/>
                <w:color w:val="262626" w:themeColor="text1" w:themeTint="D9"/>
              </w:rPr>
              <w:t>)</w:t>
            </w:r>
            <w:r w:rsidR="00783F97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5611ABBC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35C3922D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learning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vocabulary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lexis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lexical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sets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presentation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practice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recycling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vocabulary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dictionaries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Testing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vocabulary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.  </w:t>
            </w:r>
          </w:p>
          <w:p w14:paraId="2ACB98F9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5FB84D04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learning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pronunciation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pronunciation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models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sounds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stress and rhythm,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intonation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features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connected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speech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giving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feedback,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correction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Testing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pronunciation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3C6F7403" w14:textId="77777777" w:rsid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1AC25D9A" w14:textId="77777777" w:rsidR="00783F97" w:rsidRPr="00783F97" w:rsidRDefault="00783F97" w:rsidP="00783F97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learning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grammar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form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use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how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present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them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inductive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deductive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grammar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controlled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free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practice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noticing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authentic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restricted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 input/output,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context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 xml:space="preserve">). Testing </w:t>
            </w:r>
            <w:proofErr w:type="spellStart"/>
            <w:r w:rsidRPr="00783F97">
              <w:rPr>
                <w:rFonts w:eastAsia="Times New Roman" w:cstheme="minorHAnsi"/>
                <w:color w:val="262626" w:themeColor="text1" w:themeTint="D9"/>
              </w:rPr>
              <w:t>grammar</w:t>
            </w:r>
            <w:proofErr w:type="spellEnd"/>
            <w:r w:rsidRPr="00783F97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2D8D8D80" w14:textId="77777777" w:rsidR="0026263C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2A7A35F4" w14:textId="1476FEF0" w:rsidR="0026263C" w:rsidRPr="004D619B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>Uveďte příklad přípravy na vyučovací jednotku – stanovení cíle, obsahu, didaktickou analýzu učiva a tvorbu uče</w:t>
            </w:r>
            <w:r w:rsidR="004D619B">
              <w:rPr>
                <w:rFonts w:asciiTheme="minorHAnsi" w:eastAsia="Times New Roman" w:hAnsiTheme="minorHAnsi" w:cstheme="minorHAnsi"/>
                <w:color w:val="262626" w:themeColor="text1" w:themeTint="D9"/>
              </w:rPr>
              <w:t>b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ních úloh.</w:t>
            </w:r>
          </w:p>
          <w:p w14:paraId="341F062B" w14:textId="41D4AE7F" w:rsidR="004D619B" w:rsidRPr="00E55048" w:rsidRDefault="004D619B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000000" w:themeColor="text1"/>
              </w:rPr>
            </w:pPr>
            <w:r w:rsidRPr="00E55048">
              <w:rPr>
                <w:rFonts w:asciiTheme="minorHAnsi" w:hAnsiTheme="minorHAnsi" w:cstheme="minorHAnsi"/>
                <w:color w:val="000000" w:themeColor="text1"/>
              </w:rPr>
              <w:t xml:space="preserve">Na příkladu testu vlastní konstrukce ilustrujte možnosti testování a hodnocení jednotlivých řečových dovedností a jazykových prostředků. </w:t>
            </w:r>
          </w:p>
          <w:p w14:paraId="2D748BF0" w14:textId="77777777" w:rsidR="0026263C" w:rsidRPr="00F93DF1" w:rsidRDefault="0026263C" w:rsidP="00F93DF1">
            <w:pPr>
              <w:spacing w:after="120"/>
              <w:ind w:left="452" w:firstLine="433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1952B64F" w14:textId="77777777" w:rsidTr="00033BB4">
        <w:trPr>
          <w:trHeight w:val="57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2701DB7B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0D4DC7A4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7BF09CC4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Vzdělávací obsah, jeho koncipování, didaktická analýza učiva, tvorba učebních úloh.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58BB0243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25EAA663" w14:textId="77777777" w:rsidTr="00033BB4">
        <w:trPr>
          <w:trHeight w:val="57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1528B2BE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555DE5C9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454E1A68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Jedinec a sociální prostředí. Socializace (smysl, zákonitosti průběhu; změny na úrovni</w:t>
            </w:r>
          </w:p>
          <w:p w14:paraId="6057D1F5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osobnosti). Sociální učení (formy, zákonitosti).</w:t>
            </w:r>
          </w:p>
          <w:p w14:paraId="241E9D77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Sociální poznávání. Zákonitosti percepčních dějů. Charakteristika kultivované sociální</w:t>
            </w:r>
          </w:p>
          <w:p w14:paraId="458BA291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percepce. Percepční stereotypy. Možnosti kultivace percepčních dovedností.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18E86155" w14:textId="77777777" w:rsidR="0026263C" w:rsidRPr="00F93DF1" w:rsidRDefault="0026263C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1495EE15" w14:textId="77777777" w:rsidTr="00033BB4">
        <w:trPr>
          <w:trHeight w:val="1460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35FDF9C2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lastRenderedPageBreak/>
              <w:t>ZPĚTNÁ VAZBA A HODNOCENÍ</w:t>
            </w:r>
          </w:p>
        </w:tc>
        <w:tc>
          <w:tcPr>
            <w:tcW w:w="8505" w:type="dxa"/>
          </w:tcPr>
          <w:p w14:paraId="6B63607D" w14:textId="77777777" w:rsidR="002863E6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5E799385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Modern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approaches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evaluation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of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learning versus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for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learning).  N</w:t>
            </w:r>
            <w:r w:rsidR="009A5AF0">
              <w:rPr>
                <w:rFonts w:eastAsia="Times New Roman" w:cstheme="minorHAnsi"/>
                <w:color w:val="262626" w:themeColor="text1" w:themeTint="D9"/>
              </w:rPr>
              <w:t>orm-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referenced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="009A5AF0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="009A5AF0">
              <w:rPr>
                <w:rFonts w:eastAsia="Times New Roman" w:cstheme="minorHAnsi"/>
                <w:color w:val="262626" w:themeColor="text1" w:themeTint="D9"/>
              </w:rPr>
              <w:t>crite</w:t>
            </w:r>
            <w:r w:rsidRPr="00F90FAE">
              <w:rPr>
                <w:rFonts w:eastAsia="Times New Roman" w:cstheme="minorHAnsi"/>
                <w:color w:val="262626" w:themeColor="text1" w:themeTint="D9"/>
              </w:rPr>
              <w:t>rion-refer</w:t>
            </w:r>
            <w:r w:rsidR="002A56DE">
              <w:rPr>
                <w:rFonts w:eastAsia="Times New Roman" w:cstheme="minorHAnsi"/>
                <w:color w:val="262626" w:themeColor="text1" w:themeTint="D9"/>
              </w:rPr>
              <w:t>e</w:t>
            </w:r>
            <w:r w:rsidRPr="00F90FAE">
              <w:rPr>
                <w:rFonts w:eastAsia="Times New Roman" w:cstheme="minorHAnsi"/>
                <w:color w:val="262626" w:themeColor="text1" w:themeTint="D9"/>
              </w:rPr>
              <w:t>nced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individual-referenced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assessment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Self-evaluation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the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ways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develop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it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>.</w:t>
            </w:r>
          </w:p>
          <w:p w14:paraId="791D35BF" w14:textId="77777777" w:rsidR="00F90FAE" w:rsidRDefault="00F90FAE" w:rsidP="00F90FAE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70A3D7D2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Error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correction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accuracy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fluency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activities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Mistakes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errors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Correction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in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spoken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and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written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production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. </w:t>
            </w:r>
          </w:p>
          <w:p w14:paraId="589B81CF" w14:textId="77777777" w:rsidR="0026263C" w:rsidRPr="00F93DF1" w:rsidRDefault="0026263C" w:rsidP="00F93DF1">
            <w:pPr>
              <w:shd w:val="clear" w:color="auto" w:fill="FFFFFF"/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1BFAA27B" w14:textId="6C006A9D" w:rsidR="0026263C" w:rsidRPr="00CC4E67" w:rsidRDefault="00CC4E67" w:rsidP="00006FE4">
            <w:pPr>
              <w:pStyle w:val="Odstavecseseznamem"/>
              <w:numPr>
                <w:ilvl w:val="0"/>
                <w:numId w:val="36"/>
              </w:numPr>
              <w:spacing w:after="120"/>
              <w:ind w:left="452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CC4E67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Demonstrujte využití různých forem a typů hodnocení ve výuce. Zdůvodněte jejich použití vzhledem k výukovému cíli. </w:t>
            </w:r>
          </w:p>
          <w:p w14:paraId="79380718" w14:textId="77777777" w:rsidR="0026263C" w:rsidRPr="00F93DF1" w:rsidRDefault="0026263C" w:rsidP="00F93DF1">
            <w:pPr>
              <w:numPr>
                <w:ilvl w:val="0"/>
                <w:numId w:val="36"/>
              </w:numPr>
              <w:spacing w:after="120"/>
              <w:ind w:left="452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Diskutujte na konkrétních příkladech z daného výzkumu o jeho metodologických charakteristikách (výzkumná otázka, hypotézy, vzorek, metody sběru a analýzy dat, postupy interpretace, forma výzkumné zprávy),</w:t>
            </w:r>
            <w:r w:rsidR="002863E6" w:rsidRPr="00F93DF1">
              <w:rPr>
                <w:rFonts w:asciiTheme="minorHAnsi" w:hAnsiTheme="minorHAnsi" w:cstheme="minorHAnsi"/>
                <w:color w:val="262626" w:themeColor="text1" w:themeTint="D9"/>
              </w:rPr>
              <w:t xml:space="preserve"> přínosu, výhodách a nevýhodách.</w:t>
            </w:r>
          </w:p>
          <w:p w14:paraId="75752FAF" w14:textId="77777777" w:rsidR="0026263C" w:rsidRPr="00F93DF1" w:rsidRDefault="0026263C" w:rsidP="00F93DF1">
            <w:pPr>
              <w:spacing w:after="12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2BB3321B" w14:textId="77777777" w:rsidR="0026263C" w:rsidRPr="00F93DF1" w:rsidRDefault="0026263C" w:rsidP="00F93DF1">
            <w:p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66A51278" w14:textId="77777777" w:rsidTr="00033BB4">
        <w:trPr>
          <w:trHeight w:val="41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56DB5EEA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38D51532" w14:textId="77777777" w:rsidR="0026263C" w:rsidRPr="00F93DF1" w:rsidRDefault="0026263C" w:rsidP="00F93DF1">
            <w:pPr>
              <w:shd w:val="clear" w:color="auto" w:fill="FFFFFF" w:themeFill="background1"/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619ADF00" w14:textId="75CAFBD1" w:rsidR="0026263C" w:rsidRPr="00F93DF1" w:rsidRDefault="0026263C" w:rsidP="00F93DF1">
            <w:pPr>
              <w:shd w:val="clear" w:color="auto" w:fill="FFFFFF" w:themeFill="background1"/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  <w:shd w:val="clear" w:color="auto" w:fill="FFFFFF" w:themeFill="background1"/>
              </w:rPr>
              <w:t>Zpětná vazba pedagoga v</w:t>
            </w:r>
            <w:r w:rsidR="002863E6" w:rsidRPr="00F93DF1">
              <w:rPr>
                <w:rFonts w:asciiTheme="minorHAnsi" w:eastAsia="Times New Roman" w:hAnsiTheme="minorHAnsi" w:cstheme="minorHAnsi"/>
                <w:color w:val="262626" w:themeColor="text1" w:themeTint="D9"/>
                <w:shd w:val="clear" w:color="auto" w:fill="FFFFFF" w:themeFill="background1"/>
              </w:rPr>
              <w:t>e výuce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  <w:shd w:val="clear" w:color="auto" w:fill="FFFFFF" w:themeFill="background1"/>
              </w:rPr>
              <w:t>.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Zjišťování výsledků výuky. 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>Typy a formy hodnocení a v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liv hodnocení na školní úspěch a neúspěch. </w:t>
            </w:r>
          </w:p>
          <w:p w14:paraId="0D69F9EA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35A5439A" w14:textId="77777777" w:rsidR="0026263C" w:rsidRPr="00F93DF1" w:rsidRDefault="0026263C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Pedagogická evaluace v práci učitele. Využití pedagogického výzkumu v práci učitele.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201F2A43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6263C" w:rsidRPr="00F93DF1" w14:paraId="13B14128" w14:textId="77777777" w:rsidTr="00033BB4">
        <w:trPr>
          <w:trHeight w:val="410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65C28665" w14:textId="77777777" w:rsidR="0026263C" w:rsidRPr="00F93DF1" w:rsidRDefault="0026263C" w:rsidP="00F93DF1">
            <w:pPr>
              <w:spacing w:after="120" w:line="240" w:lineRule="auto"/>
              <w:contextualSpacing w:val="0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8505" w:type="dxa"/>
          </w:tcPr>
          <w:p w14:paraId="72AAB3BE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19BE852C" w14:textId="77777777" w:rsidR="00920F4F" w:rsidRPr="00920F4F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920F4F">
              <w:rPr>
                <w:rFonts w:asciiTheme="minorHAnsi" w:eastAsia="Times New Roman" w:hAnsiTheme="minorHAnsi" w:cstheme="minorHAnsi"/>
                <w:color w:val="262626" w:themeColor="text1" w:themeTint="D9"/>
              </w:rPr>
              <w:t>Základní metody psychologie: a) Metody výzkumu: experiment (vlastnosti experimentu,</w:t>
            </w:r>
          </w:p>
          <w:p w14:paraId="3D07BA48" w14:textId="77777777" w:rsidR="00920F4F" w:rsidRPr="00920F4F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920F4F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experiment přirozený a laboratorní), </w:t>
            </w:r>
            <w:proofErr w:type="spellStart"/>
            <w:r w:rsidRPr="00920F4F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kvaziexperiment</w:t>
            </w:r>
            <w:proofErr w:type="spellEnd"/>
            <w:r w:rsidRPr="00920F4F">
              <w:rPr>
                <w:rFonts w:asciiTheme="minorHAnsi" w:eastAsia="Times New Roman" w:hAnsiTheme="minorHAnsi" w:cstheme="minorHAnsi"/>
                <w:color w:val="262626" w:themeColor="text1" w:themeTint="D9"/>
              </w:rPr>
              <w:t>, ex post facto výzkum. Metoda</w:t>
            </w:r>
          </w:p>
          <w:p w14:paraId="6C823911" w14:textId="59BA52ED" w:rsidR="00920F4F" w:rsidRPr="00E2208C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920F4F">
              <w:rPr>
                <w:rFonts w:asciiTheme="minorHAnsi" w:eastAsia="Times New Roman" w:hAnsiTheme="minorHAnsi" w:cstheme="minorHAnsi"/>
                <w:color w:val="262626" w:themeColor="text1" w:themeTint="D9"/>
              </w:rPr>
              <w:t>longitudinální a příčná, metoda korelač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ní.</w:t>
            </w:r>
            <w:r w:rsid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b) Metody získávání dat: pozorování, rozhovor,</w:t>
            </w:r>
          </w:p>
          <w:p w14:paraId="5AD42401" w14:textId="77777777" w:rsidR="00920F4F" w:rsidRPr="00E2208C" w:rsidRDefault="00920F4F" w:rsidP="00920F4F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analýza produktů. Standardizované psychologické testy. Dotazníky.</w:t>
            </w:r>
          </w:p>
          <w:p w14:paraId="17762AAF" w14:textId="77777777" w:rsidR="0026263C" w:rsidRPr="00E2208C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Frustrace, frustrační tolerance. Pojem psychická deprivace. Stres. Náročné životní situace.</w:t>
            </w:r>
          </w:p>
          <w:p w14:paraId="2B5039C4" w14:textId="77777777" w:rsidR="00544919" w:rsidRPr="00E2208C" w:rsidRDefault="00544919" w:rsidP="00544919">
            <w:pPr>
              <w:spacing w:after="120" w:line="240" w:lineRule="auto"/>
              <w:rPr>
                <w:rFonts w:asciiTheme="minorHAnsi" w:eastAsia="Times New Roman" w:hAnsiTheme="minorHAnsi" w:cs="Arial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="Arial"/>
                <w:color w:val="262626" w:themeColor="text1" w:themeTint="D9"/>
              </w:rPr>
              <w:t>Psychologie poznávací a diagnostické činnosti pedagoga. Sociometrie. Psychologická</w:t>
            </w:r>
          </w:p>
          <w:p w14:paraId="3FC4E4E7" w14:textId="77777777" w:rsidR="00544919" w:rsidRPr="00E2208C" w:rsidRDefault="00544919" w:rsidP="00544919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="Arial"/>
                <w:color w:val="262626" w:themeColor="text1" w:themeTint="D9"/>
              </w:rPr>
              <w:t>anamnéza. Pedagogicko-psychologická charakteristika žáka.</w:t>
            </w:r>
          </w:p>
          <w:p w14:paraId="7F8E3D71" w14:textId="77777777" w:rsidR="0026263C" w:rsidRPr="00F93DF1" w:rsidRDefault="0026263C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Kognitivní předpoklady školního výkonu. Hlediska při posuzování kognitivních předpokladů, typy laterality a jejich vliv na školní výkon. Leváctví. Osobnostní </w:t>
            </w:r>
            <w:proofErr w:type="spellStart"/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mimointelektové</w:t>
            </w:r>
            <w:proofErr w:type="spellEnd"/>
            <w:r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faktory</w:t>
            </w:r>
            <w:r w:rsidR="00F93DF1" w:rsidRPr="00E2208C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determinující školní výkon.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0ED81BDA" w14:textId="77777777" w:rsidR="0026263C" w:rsidRPr="00F93DF1" w:rsidRDefault="0026263C" w:rsidP="00F93DF1">
            <w:pPr>
              <w:pStyle w:val="Odstavecseseznamem"/>
              <w:numPr>
                <w:ilvl w:val="1"/>
                <w:numId w:val="36"/>
              </w:numPr>
              <w:spacing w:after="120"/>
              <w:ind w:left="452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863E6" w:rsidRPr="00F93DF1" w14:paraId="2F6288E2" w14:textId="77777777" w:rsidTr="00033BB4">
        <w:trPr>
          <w:trHeight w:val="1554"/>
        </w:trPr>
        <w:tc>
          <w:tcPr>
            <w:tcW w:w="1418" w:type="dxa"/>
            <w:vMerge w:val="restart"/>
            <w:tcMar>
              <w:left w:w="115" w:type="dxa"/>
              <w:right w:w="115" w:type="dxa"/>
            </w:tcMar>
          </w:tcPr>
          <w:p w14:paraId="121D4F89" w14:textId="77777777" w:rsidR="002863E6" w:rsidRPr="00F93DF1" w:rsidRDefault="002863E6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 xml:space="preserve">ŠKOLA JAKO INSTITUCE </w:t>
            </w:r>
          </w:p>
          <w:p w14:paraId="0980F07F" w14:textId="77777777" w:rsidR="002863E6" w:rsidRPr="00F93DF1" w:rsidRDefault="002863E6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 xml:space="preserve">A </w:t>
            </w:r>
          </w:p>
          <w:p w14:paraId="3296F4AE" w14:textId="77777777" w:rsidR="002863E6" w:rsidRPr="00F93DF1" w:rsidRDefault="002863E6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hAnsiTheme="minorHAnsi" w:cstheme="minorHAnsi"/>
                <w:color w:val="262626" w:themeColor="text1" w:themeTint="D9"/>
              </w:rPr>
              <w:t>SPOLEČNÉ VZDĚLÁVÁNÍ</w:t>
            </w:r>
          </w:p>
        </w:tc>
        <w:tc>
          <w:tcPr>
            <w:tcW w:w="8505" w:type="dxa"/>
          </w:tcPr>
          <w:p w14:paraId="6435880F" w14:textId="77777777" w:rsidR="002863E6" w:rsidRPr="00F93DF1" w:rsidRDefault="002863E6" w:rsidP="00F93DF1">
            <w:pPr>
              <w:shd w:val="clear" w:color="auto" w:fill="FFFFFF"/>
              <w:spacing w:after="0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DID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74B180E9" w14:textId="77777777" w:rsidR="00F90FAE" w:rsidRPr="00F90FAE" w:rsidRDefault="00F90FAE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English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to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heterogeneous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classes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(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needs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analysis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suitable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accommodation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techniques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,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differentiation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>.)</w:t>
            </w:r>
          </w:p>
          <w:p w14:paraId="58AB6633" w14:textId="77777777" w:rsidR="00C05AED" w:rsidRDefault="00C05AED" w:rsidP="00F90FAE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</w:p>
          <w:p w14:paraId="4229E0E7" w14:textId="5BE03747" w:rsidR="002863E6" w:rsidRPr="00E2208C" w:rsidRDefault="00F90FAE" w:rsidP="00E2208C">
            <w:pPr>
              <w:spacing w:after="120"/>
              <w:rPr>
                <w:rFonts w:eastAsia="Times New Roman" w:cstheme="minorHAnsi"/>
                <w:color w:val="262626" w:themeColor="text1" w:themeTint="D9"/>
              </w:rPr>
            </w:pP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Teaching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learners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with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specific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 xml:space="preserve"> learning </w:t>
            </w:r>
            <w:proofErr w:type="spellStart"/>
            <w:r w:rsidRPr="00F90FAE">
              <w:rPr>
                <w:rFonts w:eastAsia="Times New Roman" w:cstheme="minorHAnsi"/>
                <w:color w:val="262626" w:themeColor="text1" w:themeTint="D9"/>
              </w:rPr>
              <w:t>differences</w:t>
            </w:r>
            <w:proofErr w:type="spellEnd"/>
            <w:r w:rsidRPr="00F90FAE">
              <w:rPr>
                <w:rFonts w:eastAsia="Times New Roman" w:cstheme="minorHAnsi"/>
                <w:color w:val="262626" w:themeColor="text1" w:themeTint="D9"/>
              </w:rPr>
              <w:t>.</w:t>
            </w:r>
          </w:p>
        </w:tc>
        <w:tc>
          <w:tcPr>
            <w:tcW w:w="4536" w:type="dxa"/>
            <w:vMerge w:val="restart"/>
            <w:tcMar>
              <w:left w:w="115" w:type="dxa"/>
              <w:right w:w="115" w:type="dxa"/>
            </w:tcMar>
          </w:tcPr>
          <w:p w14:paraId="5CC3A41E" w14:textId="587C09CF" w:rsidR="00CC4E67" w:rsidRDefault="00CC4E67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3" w:hanging="357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bookmarkStart w:id="0" w:name="_GoBack"/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Diskutujte o metaforách školy, na nichž jste praktikovali</w:t>
            </w: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 </w:t>
            </w:r>
            <w:r w:rsidRPr="00CC4E67">
              <w:rPr>
                <w:rFonts w:asciiTheme="minorHAnsi" w:eastAsia="Times New Roman" w:hAnsiTheme="minorHAnsi" w:cstheme="minorHAnsi"/>
                <w:color w:val="262626" w:themeColor="text1" w:themeTint="D9"/>
              </w:rPr>
              <w:t>a uvažujte o tom, jaké pojetí a funkce školy stojí v pozadí těchto metafor</w:t>
            </w: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>.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3576B8F5" w14:textId="17371060" w:rsidR="002863E6" w:rsidRDefault="002863E6" w:rsidP="00F93DF1">
            <w:pPr>
              <w:pStyle w:val="Odstavecseseznamem"/>
              <w:numPr>
                <w:ilvl w:val="0"/>
                <w:numId w:val="36"/>
              </w:numPr>
              <w:spacing w:after="120"/>
              <w:ind w:left="454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lastRenderedPageBreak/>
              <w:t>Diskutujte o výhodách a nevýhodách vybrané reformní školy či inovativního směru.</w:t>
            </w:r>
          </w:p>
          <w:bookmarkEnd w:id="0"/>
          <w:p w14:paraId="26A26270" w14:textId="77777777" w:rsidR="002863E6" w:rsidRPr="00F93DF1" w:rsidRDefault="002863E6" w:rsidP="00F93DF1">
            <w:pPr>
              <w:pStyle w:val="Odstavecseseznamem"/>
              <w:spacing w:after="120"/>
              <w:ind w:left="453"/>
              <w:contextualSpacing w:val="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3EA73329" w14:textId="77777777" w:rsidR="002863E6" w:rsidRPr="00F93DF1" w:rsidRDefault="002863E6" w:rsidP="00F93DF1">
            <w:pPr>
              <w:pStyle w:val="Odstavecseseznamem"/>
              <w:spacing w:after="120"/>
              <w:ind w:left="454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863E6" w:rsidRPr="00F93DF1" w14:paraId="084095AD" w14:textId="77777777" w:rsidTr="00033BB4">
        <w:trPr>
          <w:trHeight w:val="29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722A0989" w14:textId="77777777" w:rsidR="002863E6" w:rsidRPr="00F93DF1" w:rsidRDefault="002863E6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5" w:type="dxa"/>
          </w:tcPr>
          <w:p w14:paraId="51BCB8E4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PED</w:t>
            </w:r>
          </w:p>
          <w:p w14:paraId="069D3804" w14:textId="5964DF05" w:rsidR="002863E6" w:rsidRPr="00F93DF1" w:rsidRDefault="002863E6" w:rsidP="00F93DF1">
            <w:pPr>
              <w:spacing w:after="120"/>
              <w:jc w:val="both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Základní škola // střední škola ve vzdělávacím systému. Funkce školy v současné společnosti a proměna školy v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> </w:t>
            </w: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současnosti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– společné (inkluzivní) vzdělávání</w:t>
            </w:r>
            <w:r w:rsidR="00EA31A9">
              <w:rPr>
                <w:rFonts w:asciiTheme="minorHAnsi" w:eastAsia="Times New Roman" w:hAnsiTheme="minorHAnsi" w:cstheme="minorHAnsi"/>
                <w:color w:val="262626" w:themeColor="text1" w:themeTint="D9"/>
              </w:rPr>
              <w:t>.</w:t>
            </w:r>
            <w:r w:rsidR="000339ED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</w:t>
            </w:r>
          </w:p>
          <w:p w14:paraId="2D3C08B9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</w:p>
          <w:p w14:paraId="7327647D" w14:textId="28F1B561" w:rsidR="002863E6" w:rsidRPr="00F93DF1" w:rsidRDefault="00EA31A9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Kvalita školy, její řízení a evaluace (typy pedagogické evaluace). </w:t>
            </w:r>
          </w:p>
          <w:p w14:paraId="67796E9F" w14:textId="77777777" w:rsidR="002863E6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</w:p>
          <w:p w14:paraId="494713F5" w14:textId="5C0C387F" w:rsidR="00EA31A9" w:rsidRPr="00E2208C" w:rsidRDefault="00EA31A9" w:rsidP="00F93DF1">
            <w:pPr>
              <w:spacing w:after="120"/>
              <w:rPr>
                <w:rFonts w:asciiTheme="minorHAnsi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Alternativní přístupy a inovace ve vzdělávání: reformní školy, nové alternativy, inovace v současné škole.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46D58448" w14:textId="77777777" w:rsidR="002863E6" w:rsidRPr="00F93DF1" w:rsidRDefault="002863E6" w:rsidP="00F93DF1">
            <w:pPr>
              <w:pStyle w:val="Odstavecseseznamem"/>
              <w:numPr>
                <w:ilvl w:val="0"/>
                <w:numId w:val="36"/>
              </w:numPr>
              <w:spacing w:after="120" w:line="240" w:lineRule="auto"/>
              <w:ind w:left="454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  <w:tr w:rsidR="002863E6" w:rsidRPr="00F93DF1" w14:paraId="65420E36" w14:textId="77777777" w:rsidTr="00033BB4">
        <w:trPr>
          <w:trHeight w:val="295"/>
        </w:trPr>
        <w:tc>
          <w:tcPr>
            <w:tcW w:w="1418" w:type="dxa"/>
            <w:vMerge/>
            <w:tcMar>
              <w:left w:w="115" w:type="dxa"/>
              <w:right w:w="115" w:type="dxa"/>
            </w:tcMar>
          </w:tcPr>
          <w:p w14:paraId="30BAC752" w14:textId="77777777" w:rsidR="002863E6" w:rsidRPr="00F93DF1" w:rsidRDefault="002863E6" w:rsidP="00F93DF1">
            <w:pPr>
              <w:spacing w:after="120"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5" w:type="dxa"/>
          </w:tcPr>
          <w:p w14:paraId="087D547B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b/>
                <w:color w:val="262626" w:themeColor="text1" w:themeTint="D9"/>
              </w:rPr>
              <w:t>PSY</w:t>
            </w:r>
          </w:p>
          <w:p w14:paraId="3998CB6F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Psychologické příčiny neadaptivního chování dětí a dospívajících (poruchy chování,</w:t>
            </w:r>
          </w:p>
          <w:p w14:paraId="35C14594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kázeňské nepřizpůsobení). Agresivita a šikana. Delikvence.</w:t>
            </w:r>
          </w:p>
          <w:p w14:paraId="529719F4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Školsky významné nedostatky ve struktuře nadání (specifické vývojové poruchy učení):</w:t>
            </w:r>
          </w:p>
          <w:p w14:paraId="09CB81A8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Dyslexie, dysortografie, dysgrafie, dyskalkulie. Symptomatologie, příčiny, vliv na školní výkon.</w:t>
            </w:r>
          </w:p>
          <w:p w14:paraId="5F39BF9A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Možnosti korekce, zásady specifického přístupu učitele a rodiče.</w:t>
            </w:r>
          </w:p>
          <w:p w14:paraId="45787247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Neurotické poruchy u dětí, dospívajících a dospělých. Symptomatologie, příčiny, možnosti</w:t>
            </w:r>
          </w:p>
          <w:p w14:paraId="38C4E6E2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psychologického a pedagogického korektivního ovlivnění.</w:t>
            </w:r>
          </w:p>
          <w:p w14:paraId="74DA44D0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Syndrom ADHD. Lehká mozková dysfunkce. Příčiny, symptomatologie, vývoj, vliv na školní</w:t>
            </w:r>
          </w:p>
          <w:p w14:paraId="748EE229" w14:textId="77777777" w:rsidR="002863E6" w:rsidRPr="00F93DF1" w:rsidRDefault="002863E6" w:rsidP="00F93DF1">
            <w:pPr>
              <w:spacing w:after="120"/>
              <w:rPr>
                <w:rFonts w:asciiTheme="minorHAnsi" w:eastAsia="Times New Roman" w:hAnsiTheme="minorHAnsi" w:cstheme="minorHAnsi"/>
                <w:color w:val="262626" w:themeColor="text1" w:themeTint="D9"/>
              </w:rPr>
            </w:pPr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výkon, zásady specifického přístupu učitele a rodiče k dítěti s LMD. </w:t>
            </w:r>
            <w:proofErr w:type="spellStart"/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>Organicita</w:t>
            </w:r>
            <w:proofErr w:type="spellEnd"/>
            <w:r w:rsidRPr="00F93DF1">
              <w:rPr>
                <w:rFonts w:asciiTheme="minorHAnsi" w:eastAsia="Times New Roman" w:hAnsiTheme="minorHAnsi" w:cstheme="minorHAnsi"/>
                <w:color w:val="262626" w:themeColor="text1" w:themeTint="D9"/>
              </w:rPr>
              <w:t xml:space="preserve"> v chování, řeči a kresbě.</w:t>
            </w:r>
          </w:p>
        </w:tc>
        <w:tc>
          <w:tcPr>
            <w:tcW w:w="4536" w:type="dxa"/>
            <w:vMerge/>
            <w:tcMar>
              <w:left w:w="115" w:type="dxa"/>
              <w:right w:w="115" w:type="dxa"/>
            </w:tcMar>
          </w:tcPr>
          <w:p w14:paraId="28872FD0" w14:textId="77777777" w:rsidR="002863E6" w:rsidRPr="00F93DF1" w:rsidRDefault="002863E6" w:rsidP="00F93DF1">
            <w:pPr>
              <w:pStyle w:val="Odstavecseseznamem"/>
              <w:numPr>
                <w:ilvl w:val="0"/>
                <w:numId w:val="36"/>
              </w:numPr>
              <w:spacing w:after="120" w:line="240" w:lineRule="auto"/>
              <w:ind w:left="454"/>
              <w:contextualSpacing w:val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</w:tr>
    </w:tbl>
    <w:p w14:paraId="32280AAE" w14:textId="77777777" w:rsidR="00033BB4" w:rsidRDefault="00033BB4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p w14:paraId="452E7F9D" w14:textId="77777777" w:rsidR="003D1527" w:rsidRPr="00E33FDB" w:rsidRDefault="003D1527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  <w:proofErr w:type="spellStart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Příloha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č. 1: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K</w:t>
      </w:r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ritéria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hodnocení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SZZ </w:t>
      </w:r>
      <w:proofErr w:type="spellStart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SZZ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z </w:t>
      </w:r>
      <w:proofErr w:type="spellStart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př</w:t>
      </w:r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edmětů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pedagogika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a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psychologie</w:t>
      </w:r>
      <w:proofErr w:type="spellEnd"/>
    </w:p>
    <w:p w14:paraId="3699E763" w14:textId="77777777" w:rsidR="003D1527" w:rsidRPr="00E33FDB" w:rsidRDefault="003D1527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1651"/>
        <w:gridCol w:w="2209"/>
        <w:gridCol w:w="1052"/>
        <w:gridCol w:w="2484"/>
        <w:gridCol w:w="1065"/>
        <w:gridCol w:w="2385"/>
        <w:gridCol w:w="2602"/>
      </w:tblGrid>
      <w:tr w:rsidR="00C017D6" w14:paraId="3A4B36FB" w14:textId="77777777" w:rsidTr="00063E81">
        <w:tc>
          <w:tcPr>
            <w:tcW w:w="544" w:type="dxa"/>
            <w:shd w:val="clear" w:color="auto" w:fill="auto"/>
          </w:tcPr>
          <w:p w14:paraId="1748CDCA" w14:textId="77777777" w:rsidR="00C017D6" w:rsidRDefault="00C017D6" w:rsidP="00063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5F0B75D4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55B42FBD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</w:t>
            </w:r>
          </w:p>
          <w:p w14:paraId="7C984ACF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1052" w:type="dxa"/>
            <w:shd w:val="clear" w:color="auto" w:fill="auto"/>
          </w:tcPr>
          <w:p w14:paraId="797AEFA4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B</w:t>
            </w:r>
          </w:p>
          <w:p w14:paraId="7C485DEF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484" w:type="dxa"/>
            <w:shd w:val="clear" w:color="auto" w:fill="auto"/>
          </w:tcPr>
          <w:p w14:paraId="7F48A7A9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C</w:t>
            </w:r>
          </w:p>
          <w:p w14:paraId="2154F8C1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1065" w:type="dxa"/>
            <w:shd w:val="clear" w:color="auto" w:fill="auto"/>
          </w:tcPr>
          <w:p w14:paraId="53D7CF6A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D</w:t>
            </w:r>
          </w:p>
          <w:p w14:paraId="193D0468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385" w:type="dxa"/>
            <w:shd w:val="clear" w:color="auto" w:fill="auto"/>
          </w:tcPr>
          <w:p w14:paraId="54DEB6AA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E </w:t>
            </w:r>
          </w:p>
          <w:p w14:paraId="7F126A07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  <w:tc>
          <w:tcPr>
            <w:tcW w:w="2602" w:type="dxa"/>
            <w:shd w:val="clear" w:color="auto" w:fill="auto"/>
          </w:tcPr>
          <w:p w14:paraId="007A7952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F</w:t>
            </w:r>
          </w:p>
          <w:p w14:paraId="758CEC1E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Student:</w:t>
            </w:r>
          </w:p>
        </w:tc>
      </w:tr>
      <w:tr w:rsidR="00C017D6" w14:paraId="34B2F8AC" w14:textId="77777777" w:rsidTr="00063E81">
        <w:trPr>
          <w:trHeight w:val="2460"/>
        </w:trPr>
        <w:tc>
          <w:tcPr>
            <w:tcW w:w="544" w:type="dxa"/>
            <w:vMerge w:val="restart"/>
            <w:shd w:val="clear" w:color="auto" w:fill="auto"/>
          </w:tcPr>
          <w:p w14:paraId="728918C4" w14:textId="77777777" w:rsidR="00C017D6" w:rsidRDefault="00C017D6" w:rsidP="0006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  <w:lastRenderedPageBreak/>
              <w:t xml:space="preserve"> Vybrané  </w:t>
            </w:r>
          </w:p>
          <w:p w14:paraId="10881263" w14:textId="77777777" w:rsidR="00C017D6" w:rsidRDefault="00C017D6" w:rsidP="00063E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8"/>
                <w:szCs w:val="28"/>
              </w:rPr>
              <w:t xml:space="preserve"> téma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F362B1E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Obsah </w:t>
            </w:r>
          </w:p>
          <w:p w14:paraId="6C20FEDA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strukturování tématu</w:t>
            </w:r>
          </w:p>
        </w:tc>
        <w:tc>
          <w:tcPr>
            <w:tcW w:w="2209" w:type="dxa"/>
            <w:shd w:val="clear" w:color="auto" w:fill="auto"/>
          </w:tcPr>
          <w:p w14:paraId="48DDF30C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téma logicky s hloubkovým porozuměním. </w:t>
            </w:r>
          </w:p>
          <w:p w14:paraId="05C1E4F6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Vhodně argumentuje.</w:t>
            </w:r>
          </w:p>
          <w:p w14:paraId="7A795D6C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D01F0F2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Pohotově reaguje na doplňující otázky. </w:t>
            </w:r>
          </w:p>
          <w:p w14:paraId="6E853F5D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shd w:val="clear" w:color="auto" w:fill="auto"/>
          </w:tcPr>
          <w:p w14:paraId="08DCCF9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A15AB8E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4C63212E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1FCBD34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7F31F0D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34FB012D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C68F1D1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0111A9E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DB0E27C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5ED6C6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064FAC9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Naplňuje některé znaky A </w:t>
            </w:r>
          </w:p>
          <w:p w14:paraId="5CF5ABCD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některé znaky C.</w:t>
            </w:r>
          </w:p>
        </w:tc>
        <w:tc>
          <w:tcPr>
            <w:tcW w:w="2484" w:type="dxa"/>
            <w:shd w:val="clear" w:color="auto" w:fill="auto"/>
          </w:tcPr>
          <w:p w14:paraId="57CCB133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téma s částečným porozuměním. </w:t>
            </w:r>
          </w:p>
          <w:p w14:paraId="62B6CBE4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Váhavě argumentuje k podpoře či vyvrácení určité perspektivy.</w:t>
            </w:r>
          </w:p>
          <w:p w14:paraId="19B8C5E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K celistvému uchopení tématu  potřebuje doplňující otázky.</w:t>
            </w:r>
          </w:p>
          <w:p w14:paraId="608D84E9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14:paraId="3030D5D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5C890C06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09F1760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42508582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61E9895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7ED0431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16AC08E8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0DE5D82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</w:p>
          <w:p w14:paraId="4DB62B07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</w:p>
          <w:p w14:paraId="609D8D79" w14:textId="77777777" w:rsidR="00C017D6" w:rsidRDefault="00C017D6" w:rsidP="00063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  <w:p w14:paraId="1749444F" w14:textId="77777777" w:rsidR="00C017D6" w:rsidRDefault="00C017D6" w:rsidP="00063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Naplňuje některé znaky C. </w:t>
            </w:r>
          </w:p>
          <w:p w14:paraId="70CE4D02" w14:textId="77777777" w:rsidR="00C017D6" w:rsidRDefault="00C017D6" w:rsidP="00063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některé znaky E.</w:t>
            </w:r>
          </w:p>
        </w:tc>
        <w:tc>
          <w:tcPr>
            <w:tcW w:w="2385" w:type="dxa"/>
            <w:shd w:val="clear" w:color="auto" w:fill="auto"/>
          </w:tcPr>
          <w:p w14:paraId="356D3C6A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Prezentuje téma neúplně a s malým porozuměním.</w:t>
            </w:r>
          </w:p>
          <w:p w14:paraId="3AB37D8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Velmi málo argumentuje.</w:t>
            </w:r>
          </w:p>
          <w:p w14:paraId="12E4A2A1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83FBF7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K uchopení tématu potřebuje často doplňující otázky.</w:t>
            </w:r>
          </w:p>
        </w:tc>
        <w:tc>
          <w:tcPr>
            <w:tcW w:w="2602" w:type="dxa"/>
            <w:shd w:val="clear" w:color="auto" w:fill="auto"/>
          </w:tcPr>
          <w:p w14:paraId="70A25023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bez porozumění a vynechává podstatné části tématu.  . </w:t>
            </w:r>
          </w:p>
          <w:p w14:paraId="1DE9493A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Nedokáže argumentovat. </w:t>
            </w:r>
          </w:p>
          <w:p w14:paraId="19AAE8F3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Nedokáže zodpovědět doplňující otázky. </w:t>
            </w:r>
          </w:p>
          <w:p w14:paraId="4CB77291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</w:tr>
      <w:tr w:rsidR="00C017D6" w14:paraId="2F849A94" w14:textId="77777777" w:rsidTr="00063E81">
        <w:trPr>
          <w:trHeight w:val="2680"/>
        </w:trPr>
        <w:tc>
          <w:tcPr>
            <w:tcW w:w="544" w:type="dxa"/>
            <w:vMerge/>
            <w:shd w:val="clear" w:color="auto" w:fill="auto"/>
          </w:tcPr>
          <w:p w14:paraId="50FAA9B6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B4D930B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 xml:space="preserve">Odborná terminologie </w:t>
            </w:r>
          </w:p>
          <w:p w14:paraId="2A0EE45D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 práce s odbornou literaturou k tématu</w:t>
            </w:r>
          </w:p>
        </w:tc>
        <w:tc>
          <w:tcPr>
            <w:tcW w:w="2209" w:type="dxa"/>
            <w:shd w:val="clear" w:color="auto" w:fill="auto"/>
          </w:tcPr>
          <w:p w14:paraId="185B95A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terminologii. </w:t>
            </w:r>
          </w:p>
          <w:p w14:paraId="0C8A2282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Využívá odbornou literaturu.</w:t>
            </w:r>
          </w:p>
          <w:p w14:paraId="2A5A9717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Prezentuje uceleně různá pojetí problematiky a porovnává pohledy různých autorů.</w:t>
            </w:r>
          </w:p>
        </w:tc>
        <w:tc>
          <w:tcPr>
            <w:tcW w:w="1052" w:type="dxa"/>
            <w:vMerge/>
            <w:shd w:val="clear" w:color="auto" w:fill="auto"/>
          </w:tcPr>
          <w:p w14:paraId="70631A3B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24F23136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terminologii částečně. </w:t>
            </w:r>
          </w:p>
          <w:p w14:paraId="7A56AE1E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odbornou literaturu částečně. </w:t>
            </w:r>
          </w:p>
          <w:p w14:paraId="6A62BC5E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Jedno pojetí problematiky prezentuje uceleně, ale nevyužívá pohledy různých autorů.</w:t>
            </w:r>
          </w:p>
          <w:p w14:paraId="68E14B92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261D0FA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. </w:t>
            </w:r>
          </w:p>
        </w:tc>
        <w:tc>
          <w:tcPr>
            <w:tcW w:w="1065" w:type="dxa"/>
            <w:vMerge/>
            <w:shd w:val="clear" w:color="auto" w:fill="auto"/>
          </w:tcPr>
          <w:p w14:paraId="43EF78C7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14:paraId="54F939B7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Využívá odbornou terminologii omezeně.</w:t>
            </w:r>
          </w:p>
          <w:p w14:paraId="78280FFF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Využívá velmi málo odbornou literaturu, nebo si nevybavuje přesný odkaz na odborný zdroj. </w:t>
            </w:r>
          </w:p>
          <w:p w14:paraId="33FAA6C5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Prezentuje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fragmentovaně</w:t>
            </w:r>
            <w:proofErr w:type="spellEnd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  jedno nebo různá pojetí problematiky. </w:t>
            </w:r>
          </w:p>
        </w:tc>
        <w:tc>
          <w:tcPr>
            <w:tcW w:w="2602" w:type="dxa"/>
            <w:shd w:val="clear" w:color="auto" w:fill="auto"/>
          </w:tcPr>
          <w:p w14:paraId="31DC943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Téměř nevyužívá odbornou terminologii, vyjadřuje se neodborně a laicky. </w:t>
            </w:r>
          </w:p>
          <w:p w14:paraId="762F6BE7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Nevyužívá odbornou literaturu.</w:t>
            </w:r>
          </w:p>
          <w:p w14:paraId="144B8045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Vychází převážně z neodborných zdrojů (</w:t>
            </w:r>
            <w:proofErr w:type="spellStart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wikipedia</w:t>
            </w:r>
            <w:proofErr w:type="spellEnd"/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, “univerzální výpisky”).</w:t>
            </w:r>
          </w:p>
        </w:tc>
      </w:tr>
      <w:tr w:rsidR="00C017D6" w14:paraId="3FBC1C7A" w14:textId="77777777" w:rsidTr="00063E81">
        <w:tc>
          <w:tcPr>
            <w:tcW w:w="544" w:type="dxa"/>
            <w:vMerge/>
            <w:shd w:val="clear" w:color="auto" w:fill="auto"/>
          </w:tcPr>
          <w:p w14:paraId="0D2AEC7F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2BF779D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</w:p>
          <w:p w14:paraId="465C93B5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Aplikace</w:t>
            </w:r>
          </w:p>
          <w:p w14:paraId="689B6024" w14:textId="77777777" w:rsidR="00C017D6" w:rsidRDefault="00C017D6" w:rsidP="0006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92750"/>
                <w:sz w:val="20"/>
                <w:szCs w:val="20"/>
              </w:rPr>
              <w:t>tématu</w:t>
            </w:r>
          </w:p>
        </w:tc>
        <w:tc>
          <w:tcPr>
            <w:tcW w:w="2209" w:type="dxa"/>
            <w:shd w:val="clear" w:color="auto" w:fill="auto"/>
          </w:tcPr>
          <w:p w14:paraId="2BC439A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Propojuje teorii s praxí (například vhodně ilustruje teorii na materiálech z portfolia). </w:t>
            </w:r>
          </w:p>
          <w:p w14:paraId="21E520E0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6E2AFD5A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Je schopen do hloubky reflektovat vlastní praxi. </w:t>
            </w:r>
          </w:p>
        </w:tc>
        <w:tc>
          <w:tcPr>
            <w:tcW w:w="1052" w:type="dxa"/>
            <w:vMerge/>
            <w:shd w:val="clear" w:color="auto" w:fill="auto"/>
          </w:tcPr>
          <w:p w14:paraId="02464695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5D0E705C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Propojuje teorii s praxí omezeně. V práci s portfoliem neprokazuje plné porozumění teorii.</w:t>
            </w:r>
          </w:p>
          <w:p w14:paraId="0DF9560A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  <w:p w14:paraId="3166753B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Reflektuje praxi povrchně. Postupuje spíše deskriptivně.</w:t>
            </w:r>
          </w:p>
        </w:tc>
        <w:tc>
          <w:tcPr>
            <w:tcW w:w="1065" w:type="dxa"/>
            <w:vMerge/>
            <w:shd w:val="clear" w:color="auto" w:fill="auto"/>
          </w:tcPr>
          <w:p w14:paraId="42AC29BB" w14:textId="77777777" w:rsidR="00C017D6" w:rsidRDefault="00C017D6" w:rsidP="00063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14:paraId="61C9C7D8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 xml:space="preserve">S pomocí zkoušejícího uvádí omezené množství praktických příkladů,  které ne vždy vhodně ilustrují teorii. </w:t>
            </w:r>
          </w:p>
          <w:p w14:paraId="15048C4D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Praxi nereflektuje, pouze popisuje.</w:t>
            </w:r>
          </w:p>
        </w:tc>
        <w:tc>
          <w:tcPr>
            <w:tcW w:w="2602" w:type="dxa"/>
            <w:shd w:val="clear" w:color="auto" w:fill="auto"/>
          </w:tcPr>
          <w:p w14:paraId="6A872FDA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Neprokazuje porozumění základní teorii na základě uváděných příkladů.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Chybně volí praktické příklady.</w:t>
            </w:r>
          </w:p>
          <w:p w14:paraId="5F439BC7" w14:textId="77777777" w:rsidR="00C017D6" w:rsidRDefault="00C017D6" w:rsidP="00063E8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750"/>
                <w:sz w:val="20"/>
                <w:szCs w:val="20"/>
              </w:rPr>
              <w:t>Nedokáže reflektovat ani smysluplně popsat vlastní praxi.</w:t>
            </w:r>
          </w:p>
        </w:tc>
      </w:tr>
    </w:tbl>
    <w:p w14:paraId="2E9D3F7A" w14:textId="77777777" w:rsidR="00C017D6" w:rsidRDefault="00C017D6" w:rsidP="00C017D6"/>
    <w:p w14:paraId="6198E5EA" w14:textId="77777777" w:rsidR="00C017D6" w:rsidRPr="00F93DF1" w:rsidRDefault="00C017D6" w:rsidP="00C017D6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494EA4B2" w14:textId="77777777" w:rsidR="00033BB4" w:rsidRDefault="00033BB4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p w14:paraId="6911116F" w14:textId="77777777" w:rsidR="00033BB4" w:rsidRDefault="00033BB4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p w14:paraId="4ED6C82F" w14:textId="77777777" w:rsidR="00033BB4" w:rsidRDefault="00033BB4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p w14:paraId="20CA8C64" w14:textId="77777777" w:rsidR="003D1527" w:rsidRPr="00E33FDB" w:rsidRDefault="003D1527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Příloha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č. </w:t>
      </w:r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2:</w:t>
      </w:r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K</w:t>
      </w:r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ritéria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hodnocení</w:t>
      </w:r>
      <w:proofErr w:type="spellEnd"/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ke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SZZ z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anglického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jazyka</w:t>
      </w:r>
      <w:proofErr w:type="spellEnd"/>
      <w:r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(</w:t>
      </w:r>
      <w:r w:rsidR="00757681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Didactics</w:t>
      </w:r>
      <w:r w:rsidR="00757681"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 xml:space="preserve"> </w:t>
      </w:r>
      <w:r w:rsidRPr="00E33FDB"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  <w:t>Assessment Rubric)</w:t>
      </w:r>
    </w:p>
    <w:p w14:paraId="15789F96" w14:textId="77777777" w:rsidR="003D1527" w:rsidRPr="00E33FDB" w:rsidRDefault="003D1527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24"/>
          <w:szCs w:val="24"/>
          <w:lang w:val="en-GB"/>
        </w:rPr>
      </w:pPr>
    </w:p>
    <w:p w14:paraId="4F8F0D5D" w14:textId="77777777" w:rsidR="003D1527" w:rsidRDefault="003D1527" w:rsidP="003D1527">
      <w:pPr>
        <w:spacing w:after="0" w:line="312" w:lineRule="atLeast"/>
        <w:outlineLvl w:val="0"/>
        <w:rPr>
          <w:rFonts w:ascii="Verdana" w:eastAsia="Times New Roman" w:hAnsi="Verdana"/>
          <w:b/>
          <w:bCs/>
          <w:color w:val="292750"/>
          <w:kern w:val="36"/>
          <w:sz w:val="42"/>
          <w:szCs w:val="42"/>
          <w:lang w:val="en-GB"/>
        </w:rPr>
      </w:pPr>
    </w:p>
    <w:p w14:paraId="3E009AC0" w14:textId="77777777" w:rsidR="003D1527" w:rsidRPr="00B131E0" w:rsidRDefault="003D1527" w:rsidP="003D1527">
      <w:pPr>
        <w:rPr>
          <w:color w:val="auto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9"/>
        <w:gridCol w:w="1258"/>
        <w:gridCol w:w="2869"/>
        <w:gridCol w:w="863"/>
        <w:gridCol w:w="3186"/>
        <w:gridCol w:w="862"/>
        <w:gridCol w:w="2517"/>
        <w:gridCol w:w="2426"/>
      </w:tblGrid>
      <w:tr w:rsidR="003D1527" w:rsidRPr="00B131E0" w14:paraId="474CC687" w14:textId="77777777" w:rsidTr="00CD690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383D9C28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2E9C6D4B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4219AA04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6D9C3823" w14:textId="77777777" w:rsidR="003D1527" w:rsidRDefault="003D1527" w:rsidP="00CD6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92750"/>
                <w:lang w:val="en-GB"/>
              </w:rPr>
            </w:pPr>
          </w:p>
          <w:p w14:paraId="1D228B02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B</w:t>
            </w:r>
          </w:p>
          <w:p w14:paraId="513B7B9B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201C5C4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490CF5F3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1444DF6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046F9250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F</w:t>
            </w:r>
          </w:p>
        </w:tc>
      </w:tr>
      <w:tr w:rsidR="003D1527" w:rsidRPr="00B131E0" w14:paraId="6944FA36" w14:textId="77777777" w:rsidTr="00CD6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8FD1C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Topic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313BB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Content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8D0BC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Clear, detailed presentation of the topic with full understanding; good arguments; good effective logical structure. Refers to appropriate literature. Evidence of critical evaluation of reading. Gives own informed views on variety of issues.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CBA66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A and</w:t>
            </w:r>
          </w:p>
          <w:p w14:paraId="4C17CFDE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C.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E584E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Clear, simplified presentation; partial understanding of the topic; reasons in support of or against a particular viewpoint given with hesitation. Occasionally guiding questions are needed. Refers to a limited number of resources. Sometimes reluctant to express informed views or give opinions.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E8E51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Some features of C and </w:t>
            </w:r>
          </w:p>
          <w:p w14:paraId="50067511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some features of 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5FD7F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Little understanding of the topic; few arguments; often not completely correct; parts missing. Limited evaluation of few resources and teaching experience. Can’t think of constructive solutions.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AAF54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Very little understanding of the topic; arguments sometimes incorrect; parts missing. There is very little or no evidence of reading.</w:t>
            </w:r>
          </w:p>
        </w:tc>
      </w:tr>
      <w:tr w:rsidR="003D1527" w:rsidRPr="00B131E0" w14:paraId="6D29A91A" w14:textId="77777777" w:rsidTr="00CD6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FDB83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E7AA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Style</w:t>
            </w:r>
          </w:p>
          <w:p w14:paraId="44C82BA4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and Language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F05F9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Appropriate to the content; methodology terms used where necessary.</w:t>
            </w:r>
          </w:p>
          <w:p w14:paraId="62D501AA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Language quality is high (both range and accuracy), fluent, and natural.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DB94A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A2041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Terminology sometimes substituted by general expressions. Searching for words; prompts necessary.</w:t>
            </w:r>
          </w:p>
          <w:p w14:paraId="70A42551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Language either limited in range or accuracy; frequent hesitations.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8E1C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0A169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Simple way of explanation with frequent pauses and hesitations; terminology not often used; much prompting necessary; problems with accuracy and fluency.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D1FCC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Lack of terminology; mistakes in grammar or pronunciation.</w:t>
            </w:r>
          </w:p>
        </w:tc>
      </w:tr>
      <w:tr w:rsidR="003D1527" w:rsidRPr="00B131E0" w14:paraId="678CBF4E" w14:textId="77777777" w:rsidTr="00CD6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93C09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0D31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b/>
                <w:bCs/>
                <w:color w:val="292750"/>
                <w:lang w:val="en-GB"/>
              </w:rPr>
              <w:t>Applications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40E9C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 xml:space="preserve">Linking theory to practice giving good examples from portfolio. Flexible and creative in professional attitudes. Evidence of reflection and critical evaluation of teaching experience.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12940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84708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Efforts to link theory to practice; at times examples from portfolio don’t show full understanding of the theory - either limited in quality or creativity. Limited evidence of reflection.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9BC06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EFBE9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Can give a limited number of practical examples which don’t demonstrate the principles, or good examples without any rationale. Very limited evidence of reflection. Gives hardly any views.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2E94B" w14:textId="77777777" w:rsidR="003D1527" w:rsidRPr="00E33FDB" w:rsidRDefault="003D1527" w:rsidP="00CD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750"/>
                <w:lang w:val="en-GB"/>
              </w:rPr>
            </w:pPr>
            <w:r w:rsidRPr="00E33FDB">
              <w:rPr>
                <w:rFonts w:ascii="Times New Roman" w:eastAsia="Times New Roman" w:hAnsi="Times New Roman" w:cs="Times New Roman"/>
                <w:color w:val="292750"/>
                <w:lang w:val="en-GB"/>
              </w:rPr>
              <w:t>No or wrong arguments; no justification. No evidence of underpinning theory. Wrong choice of practical activities and examples. Inflexible attitude to facts. Gives no views.</w:t>
            </w:r>
          </w:p>
        </w:tc>
      </w:tr>
    </w:tbl>
    <w:p w14:paraId="1D94041B" w14:textId="77777777" w:rsidR="003D1527" w:rsidRPr="00C61E46" w:rsidRDefault="003D1527" w:rsidP="003D1527"/>
    <w:p w14:paraId="526E4172" w14:textId="77777777" w:rsidR="003D1527" w:rsidRPr="002253C2" w:rsidRDefault="003D1527" w:rsidP="003D1527">
      <w:pPr>
        <w:rPr>
          <w:rFonts w:ascii="Times New Roman" w:hAnsi="Times New Roman"/>
          <w:sz w:val="20"/>
          <w:szCs w:val="20"/>
          <w:lang w:val="en-GB"/>
        </w:rPr>
      </w:pPr>
      <w:r w:rsidRPr="002253C2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6AD190BF" w14:textId="40B47717" w:rsidR="003D1527" w:rsidRDefault="003D1527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66497F53" w14:textId="2CA6886B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0BCC2E9E" w14:textId="33250A4A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2F0876C6" w14:textId="72C1651D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00510BEA" w14:textId="4042C595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5CA2BA19" w14:textId="69CA388E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0DE899DF" w14:textId="2F63C446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216D771D" w14:textId="7F7F6A86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56269276" w14:textId="20CD9568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09E976C6" w14:textId="5C7E420D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72B8C86F" w14:textId="35EE30C1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0DD11B48" w14:textId="2A10515B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4F0DCC60" w14:textId="5F66612E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75AB0789" w14:textId="3D4D0D34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p w14:paraId="5000563C" w14:textId="37F92D8A" w:rsidR="00E55048" w:rsidRDefault="00E55048" w:rsidP="00F93DF1">
      <w:pPr>
        <w:shd w:val="clear" w:color="auto" w:fill="FFFFFF"/>
        <w:spacing w:before="100" w:beforeAutospacing="1" w:after="120" w:line="240" w:lineRule="auto"/>
        <w:contextualSpacing w:val="0"/>
        <w:rPr>
          <w:rFonts w:asciiTheme="minorHAnsi" w:eastAsia="Times New Roman" w:hAnsiTheme="minorHAnsi" w:cstheme="minorHAnsi"/>
          <w:sz w:val="18"/>
          <w:szCs w:val="18"/>
        </w:rPr>
      </w:pPr>
    </w:p>
    <w:sectPr w:rsidR="00E55048" w:rsidSect="003D15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5CD"/>
    <w:multiLevelType w:val="hybridMultilevel"/>
    <w:tmpl w:val="CD5C0110"/>
    <w:lvl w:ilvl="0" w:tplc="FACC14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77B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607FC"/>
    <w:multiLevelType w:val="hybridMultilevel"/>
    <w:tmpl w:val="1C986694"/>
    <w:lvl w:ilvl="0" w:tplc="382434E2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 w15:restartNumberingAfterBreak="0">
    <w:nsid w:val="142C2078"/>
    <w:multiLevelType w:val="hybridMultilevel"/>
    <w:tmpl w:val="90EAF18E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B4520"/>
    <w:multiLevelType w:val="hybridMultilevel"/>
    <w:tmpl w:val="EE3E7082"/>
    <w:lvl w:ilvl="0" w:tplc="BDE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63761D"/>
    <w:multiLevelType w:val="multilevel"/>
    <w:tmpl w:val="2404332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1CDA0F3D"/>
    <w:multiLevelType w:val="hybridMultilevel"/>
    <w:tmpl w:val="AAD65BAA"/>
    <w:lvl w:ilvl="0" w:tplc="2012B39E">
      <w:start w:val="1"/>
      <w:numFmt w:val="decimal"/>
      <w:lvlText w:val="%1)"/>
      <w:lvlJc w:val="left"/>
      <w:pPr>
        <w:ind w:left="386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209F5"/>
    <w:multiLevelType w:val="hybridMultilevel"/>
    <w:tmpl w:val="4B4E664A"/>
    <w:lvl w:ilvl="0" w:tplc="F67EE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2165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05A70"/>
    <w:multiLevelType w:val="multilevel"/>
    <w:tmpl w:val="7804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C30EB"/>
    <w:multiLevelType w:val="hybridMultilevel"/>
    <w:tmpl w:val="BA0E40B0"/>
    <w:lvl w:ilvl="0" w:tplc="A93E4DBC">
      <w:start w:val="1"/>
      <w:numFmt w:val="decimal"/>
      <w:lvlText w:val="%1)"/>
      <w:lvlJc w:val="left"/>
      <w:pPr>
        <w:ind w:left="724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4" w:hanging="360"/>
      </w:pPr>
    </w:lvl>
    <w:lvl w:ilvl="2" w:tplc="0405001B" w:tentative="1">
      <w:start w:val="1"/>
      <w:numFmt w:val="lowerRoman"/>
      <w:lvlText w:val="%3."/>
      <w:lvlJc w:val="right"/>
      <w:pPr>
        <w:ind w:left="2164" w:hanging="180"/>
      </w:pPr>
    </w:lvl>
    <w:lvl w:ilvl="3" w:tplc="0405000F" w:tentative="1">
      <w:start w:val="1"/>
      <w:numFmt w:val="decimal"/>
      <w:lvlText w:val="%4."/>
      <w:lvlJc w:val="left"/>
      <w:pPr>
        <w:ind w:left="2884" w:hanging="360"/>
      </w:pPr>
    </w:lvl>
    <w:lvl w:ilvl="4" w:tplc="04050019" w:tentative="1">
      <w:start w:val="1"/>
      <w:numFmt w:val="lowerLetter"/>
      <w:lvlText w:val="%5."/>
      <w:lvlJc w:val="left"/>
      <w:pPr>
        <w:ind w:left="3604" w:hanging="360"/>
      </w:pPr>
    </w:lvl>
    <w:lvl w:ilvl="5" w:tplc="0405001B" w:tentative="1">
      <w:start w:val="1"/>
      <w:numFmt w:val="lowerRoman"/>
      <w:lvlText w:val="%6."/>
      <w:lvlJc w:val="right"/>
      <w:pPr>
        <w:ind w:left="4324" w:hanging="180"/>
      </w:pPr>
    </w:lvl>
    <w:lvl w:ilvl="6" w:tplc="0405000F" w:tentative="1">
      <w:start w:val="1"/>
      <w:numFmt w:val="decimal"/>
      <w:lvlText w:val="%7."/>
      <w:lvlJc w:val="left"/>
      <w:pPr>
        <w:ind w:left="5044" w:hanging="360"/>
      </w:pPr>
    </w:lvl>
    <w:lvl w:ilvl="7" w:tplc="04050019" w:tentative="1">
      <w:start w:val="1"/>
      <w:numFmt w:val="lowerLetter"/>
      <w:lvlText w:val="%8."/>
      <w:lvlJc w:val="left"/>
      <w:pPr>
        <w:ind w:left="5764" w:hanging="360"/>
      </w:pPr>
    </w:lvl>
    <w:lvl w:ilvl="8" w:tplc="040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34DC2297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B5E95"/>
    <w:multiLevelType w:val="hybridMultilevel"/>
    <w:tmpl w:val="C0A6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206B"/>
    <w:multiLevelType w:val="hybridMultilevel"/>
    <w:tmpl w:val="EB5823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5CCD"/>
    <w:multiLevelType w:val="hybridMultilevel"/>
    <w:tmpl w:val="981AB6E0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AFD"/>
    <w:multiLevelType w:val="hybridMultilevel"/>
    <w:tmpl w:val="91004BB0"/>
    <w:lvl w:ilvl="0" w:tplc="040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03D5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61275"/>
    <w:multiLevelType w:val="hybridMultilevel"/>
    <w:tmpl w:val="1F9E761C"/>
    <w:lvl w:ilvl="0" w:tplc="4C5CE94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12EFB"/>
    <w:multiLevelType w:val="multilevel"/>
    <w:tmpl w:val="8AAA2D92"/>
    <w:lvl w:ilvl="0">
      <w:start w:val="7"/>
      <w:numFmt w:val="decimal"/>
      <w:lvlText w:val="%1."/>
      <w:lvlJc w:val="left"/>
      <w:pPr>
        <w:ind w:left="720" w:firstLine="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48082EE9"/>
    <w:multiLevelType w:val="hybridMultilevel"/>
    <w:tmpl w:val="C6DA33B8"/>
    <w:lvl w:ilvl="0" w:tplc="5C603F2C">
      <w:start w:val="1"/>
      <w:numFmt w:val="decimal"/>
      <w:lvlText w:val="%1)"/>
      <w:lvlJc w:val="left"/>
      <w:pPr>
        <w:ind w:left="3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 w15:restartNumberingAfterBreak="0">
    <w:nsid w:val="4C1B6F6F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556DE"/>
    <w:multiLevelType w:val="multilevel"/>
    <w:tmpl w:val="900245E4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4E98681F"/>
    <w:multiLevelType w:val="hybridMultilevel"/>
    <w:tmpl w:val="F4C6EC80"/>
    <w:lvl w:ilvl="0" w:tplc="608A2D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023F5"/>
    <w:multiLevelType w:val="multilevel"/>
    <w:tmpl w:val="40323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4" w15:restartNumberingAfterBreak="0">
    <w:nsid w:val="58DA6131"/>
    <w:multiLevelType w:val="multilevel"/>
    <w:tmpl w:val="ABBCC650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5B023118"/>
    <w:multiLevelType w:val="hybridMultilevel"/>
    <w:tmpl w:val="CD5C0110"/>
    <w:lvl w:ilvl="0" w:tplc="FACC14F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1D9B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843F9"/>
    <w:multiLevelType w:val="hybridMultilevel"/>
    <w:tmpl w:val="0AF0FC44"/>
    <w:lvl w:ilvl="0" w:tplc="E27C5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C2953"/>
    <w:multiLevelType w:val="hybridMultilevel"/>
    <w:tmpl w:val="BE622AF4"/>
    <w:lvl w:ilvl="0" w:tplc="E97E1262">
      <w:start w:val="1"/>
      <w:numFmt w:val="decimal"/>
      <w:lvlText w:val="%1)"/>
      <w:lvlJc w:val="left"/>
      <w:pPr>
        <w:ind w:left="3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9" w15:restartNumberingAfterBreak="0">
    <w:nsid w:val="66DA7F2A"/>
    <w:multiLevelType w:val="multilevel"/>
    <w:tmpl w:val="94A05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124C06"/>
    <w:multiLevelType w:val="hybridMultilevel"/>
    <w:tmpl w:val="7818B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8783D"/>
    <w:multiLevelType w:val="multilevel"/>
    <w:tmpl w:val="387EC080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2" w15:restartNumberingAfterBreak="0">
    <w:nsid w:val="6E131B55"/>
    <w:multiLevelType w:val="hybridMultilevel"/>
    <w:tmpl w:val="E6F256EE"/>
    <w:lvl w:ilvl="0" w:tplc="8A661520">
      <w:start w:val="1"/>
      <w:numFmt w:val="decimal"/>
      <w:lvlText w:val="%1)"/>
      <w:lvlJc w:val="left"/>
      <w:pPr>
        <w:ind w:left="793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3" w15:restartNumberingAfterBreak="0">
    <w:nsid w:val="70A83536"/>
    <w:multiLevelType w:val="multilevel"/>
    <w:tmpl w:val="4FFA926E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4" w15:restartNumberingAfterBreak="0">
    <w:nsid w:val="74BD3B42"/>
    <w:multiLevelType w:val="hybridMultilevel"/>
    <w:tmpl w:val="43C8A24C"/>
    <w:lvl w:ilvl="0" w:tplc="053875EC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5" w15:restartNumberingAfterBreak="0">
    <w:nsid w:val="76EC1ADB"/>
    <w:multiLevelType w:val="hybridMultilevel"/>
    <w:tmpl w:val="22DA8B5C"/>
    <w:lvl w:ilvl="0" w:tplc="BA84E4E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6" w15:restartNumberingAfterBreak="0">
    <w:nsid w:val="7AF96F1A"/>
    <w:multiLevelType w:val="multilevel"/>
    <w:tmpl w:val="1DC2DCFA"/>
    <w:lvl w:ilvl="0">
      <w:start w:val="8"/>
      <w:numFmt w:val="decimal"/>
      <w:lvlText w:val="%1."/>
      <w:lvlJc w:val="left"/>
      <w:pPr>
        <w:ind w:left="169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7" w15:restartNumberingAfterBreak="0">
    <w:nsid w:val="7BF953FB"/>
    <w:multiLevelType w:val="hybridMultilevel"/>
    <w:tmpl w:val="F95E3D5C"/>
    <w:lvl w:ilvl="0" w:tplc="FB7C85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23"/>
  </w:num>
  <w:num w:numId="5">
    <w:abstractNumId w:val="33"/>
  </w:num>
  <w:num w:numId="6">
    <w:abstractNumId w:val="5"/>
  </w:num>
  <w:num w:numId="7">
    <w:abstractNumId w:val="24"/>
  </w:num>
  <w:num w:numId="8">
    <w:abstractNumId w:val="2"/>
  </w:num>
  <w:num w:numId="9">
    <w:abstractNumId w:val="17"/>
  </w:num>
  <w:num w:numId="10">
    <w:abstractNumId w:val="36"/>
  </w:num>
  <w:num w:numId="11">
    <w:abstractNumId w:val="3"/>
  </w:num>
  <w:num w:numId="12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6"/>
  </w:num>
  <w:num w:numId="15">
    <w:abstractNumId w:val="1"/>
  </w:num>
  <w:num w:numId="16">
    <w:abstractNumId w:val="11"/>
  </w:num>
  <w:num w:numId="17">
    <w:abstractNumId w:val="8"/>
  </w:num>
  <w:num w:numId="18">
    <w:abstractNumId w:val="16"/>
  </w:num>
  <w:num w:numId="19">
    <w:abstractNumId w:val="20"/>
  </w:num>
  <w:num w:numId="20">
    <w:abstractNumId w:val="22"/>
  </w:num>
  <w:num w:numId="21">
    <w:abstractNumId w:val="25"/>
  </w:num>
  <w:num w:numId="22">
    <w:abstractNumId w:val="27"/>
  </w:num>
  <w:num w:numId="23">
    <w:abstractNumId w:val="10"/>
  </w:num>
  <w:num w:numId="24">
    <w:abstractNumId w:val="35"/>
  </w:num>
  <w:num w:numId="25">
    <w:abstractNumId w:val="19"/>
  </w:num>
  <w:num w:numId="26">
    <w:abstractNumId w:val="14"/>
  </w:num>
  <w:num w:numId="27">
    <w:abstractNumId w:val="28"/>
  </w:num>
  <w:num w:numId="28">
    <w:abstractNumId w:val="32"/>
  </w:num>
  <w:num w:numId="29">
    <w:abstractNumId w:val="34"/>
  </w:num>
  <w:num w:numId="30">
    <w:abstractNumId w:val="0"/>
  </w:num>
  <w:num w:numId="31">
    <w:abstractNumId w:val="15"/>
  </w:num>
  <w:num w:numId="32">
    <w:abstractNumId w:val="13"/>
  </w:num>
  <w:num w:numId="33">
    <w:abstractNumId w:val="6"/>
  </w:num>
  <w:num w:numId="34">
    <w:abstractNumId w:val="37"/>
  </w:num>
  <w:num w:numId="35">
    <w:abstractNumId w:val="7"/>
  </w:num>
  <w:num w:numId="36">
    <w:abstractNumId w:val="30"/>
  </w:num>
  <w:num w:numId="37">
    <w:abstractNumId w:val="4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9B"/>
    <w:rsid w:val="00007842"/>
    <w:rsid w:val="00017D84"/>
    <w:rsid w:val="00020354"/>
    <w:rsid w:val="00023BC1"/>
    <w:rsid w:val="00024373"/>
    <w:rsid w:val="000258DB"/>
    <w:rsid w:val="00027FB6"/>
    <w:rsid w:val="0003067D"/>
    <w:rsid w:val="00031455"/>
    <w:rsid w:val="000339ED"/>
    <w:rsid w:val="00033BB4"/>
    <w:rsid w:val="000353BE"/>
    <w:rsid w:val="00035FEB"/>
    <w:rsid w:val="00037FBE"/>
    <w:rsid w:val="000406ED"/>
    <w:rsid w:val="000415FB"/>
    <w:rsid w:val="0004475C"/>
    <w:rsid w:val="00044B0E"/>
    <w:rsid w:val="000500CB"/>
    <w:rsid w:val="00056812"/>
    <w:rsid w:val="00060F2D"/>
    <w:rsid w:val="000657AA"/>
    <w:rsid w:val="000707C3"/>
    <w:rsid w:val="00071C72"/>
    <w:rsid w:val="00077BF3"/>
    <w:rsid w:val="0008106E"/>
    <w:rsid w:val="000813D3"/>
    <w:rsid w:val="00081D01"/>
    <w:rsid w:val="000831A6"/>
    <w:rsid w:val="00086556"/>
    <w:rsid w:val="00087184"/>
    <w:rsid w:val="000903DB"/>
    <w:rsid w:val="00094C13"/>
    <w:rsid w:val="00094DD6"/>
    <w:rsid w:val="000A33E0"/>
    <w:rsid w:val="000A3F35"/>
    <w:rsid w:val="000B4859"/>
    <w:rsid w:val="000B7F90"/>
    <w:rsid w:val="000C55BB"/>
    <w:rsid w:val="000D41FF"/>
    <w:rsid w:val="000D7327"/>
    <w:rsid w:val="000E7A00"/>
    <w:rsid w:val="000F1CED"/>
    <w:rsid w:val="000F7834"/>
    <w:rsid w:val="00101EC3"/>
    <w:rsid w:val="001044A1"/>
    <w:rsid w:val="00110A75"/>
    <w:rsid w:val="0011650B"/>
    <w:rsid w:val="0012182E"/>
    <w:rsid w:val="00121CA3"/>
    <w:rsid w:val="00124732"/>
    <w:rsid w:val="001269D7"/>
    <w:rsid w:val="00130442"/>
    <w:rsid w:val="00130FB7"/>
    <w:rsid w:val="00133FED"/>
    <w:rsid w:val="001439FE"/>
    <w:rsid w:val="001457D7"/>
    <w:rsid w:val="00146BE3"/>
    <w:rsid w:val="001505B0"/>
    <w:rsid w:val="00154684"/>
    <w:rsid w:val="00154B4E"/>
    <w:rsid w:val="00162410"/>
    <w:rsid w:val="00165A02"/>
    <w:rsid w:val="00165A1C"/>
    <w:rsid w:val="00180794"/>
    <w:rsid w:val="00194BBB"/>
    <w:rsid w:val="00195B67"/>
    <w:rsid w:val="00195B97"/>
    <w:rsid w:val="001A0292"/>
    <w:rsid w:val="001A2F4F"/>
    <w:rsid w:val="001A3454"/>
    <w:rsid w:val="001B1233"/>
    <w:rsid w:val="001B3FC0"/>
    <w:rsid w:val="001C0D83"/>
    <w:rsid w:val="001C212C"/>
    <w:rsid w:val="001C26FA"/>
    <w:rsid w:val="001C2767"/>
    <w:rsid w:val="001C2876"/>
    <w:rsid w:val="001C3252"/>
    <w:rsid w:val="001C5749"/>
    <w:rsid w:val="001E4721"/>
    <w:rsid w:val="001E5725"/>
    <w:rsid w:val="001F7694"/>
    <w:rsid w:val="0021715F"/>
    <w:rsid w:val="00225321"/>
    <w:rsid w:val="00231EA7"/>
    <w:rsid w:val="00233577"/>
    <w:rsid w:val="00235871"/>
    <w:rsid w:val="00240A62"/>
    <w:rsid w:val="00246044"/>
    <w:rsid w:val="002576C5"/>
    <w:rsid w:val="0026263C"/>
    <w:rsid w:val="00262D30"/>
    <w:rsid w:val="002637CB"/>
    <w:rsid w:val="00272842"/>
    <w:rsid w:val="00272C49"/>
    <w:rsid w:val="0027410E"/>
    <w:rsid w:val="00283FB3"/>
    <w:rsid w:val="0028560C"/>
    <w:rsid w:val="002863E6"/>
    <w:rsid w:val="0029172E"/>
    <w:rsid w:val="00295712"/>
    <w:rsid w:val="002976C0"/>
    <w:rsid w:val="002A412D"/>
    <w:rsid w:val="002A56DE"/>
    <w:rsid w:val="002B16B8"/>
    <w:rsid w:val="002B3B78"/>
    <w:rsid w:val="002B40EA"/>
    <w:rsid w:val="002B7D94"/>
    <w:rsid w:val="002C1955"/>
    <w:rsid w:val="002D0728"/>
    <w:rsid w:val="002D558F"/>
    <w:rsid w:val="002E10FD"/>
    <w:rsid w:val="002E4F6D"/>
    <w:rsid w:val="002F66AA"/>
    <w:rsid w:val="002F6F03"/>
    <w:rsid w:val="002F7852"/>
    <w:rsid w:val="00303AE8"/>
    <w:rsid w:val="003059D1"/>
    <w:rsid w:val="00305FA8"/>
    <w:rsid w:val="003237C1"/>
    <w:rsid w:val="003267AD"/>
    <w:rsid w:val="00342827"/>
    <w:rsid w:val="00342872"/>
    <w:rsid w:val="00343234"/>
    <w:rsid w:val="0036273D"/>
    <w:rsid w:val="00375B3B"/>
    <w:rsid w:val="00375C58"/>
    <w:rsid w:val="00381C2F"/>
    <w:rsid w:val="00394E89"/>
    <w:rsid w:val="003A22CE"/>
    <w:rsid w:val="003A366D"/>
    <w:rsid w:val="003A47E8"/>
    <w:rsid w:val="003A7576"/>
    <w:rsid w:val="003B0D32"/>
    <w:rsid w:val="003B2565"/>
    <w:rsid w:val="003B2752"/>
    <w:rsid w:val="003B2D9B"/>
    <w:rsid w:val="003B4899"/>
    <w:rsid w:val="003B7041"/>
    <w:rsid w:val="003C1657"/>
    <w:rsid w:val="003D06F3"/>
    <w:rsid w:val="003D1527"/>
    <w:rsid w:val="003D3301"/>
    <w:rsid w:val="003D5720"/>
    <w:rsid w:val="003E5299"/>
    <w:rsid w:val="003E779C"/>
    <w:rsid w:val="003F011B"/>
    <w:rsid w:val="003F4D25"/>
    <w:rsid w:val="0040088E"/>
    <w:rsid w:val="00402467"/>
    <w:rsid w:val="00402A4F"/>
    <w:rsid w:val="00403ADF"/>
    <w:rsid w:val="00411757"/>
    <w:rsid w:val="00414860"/>
    <w:rsid w:val="00416D4F"/>
    <w:rsid w:val="004176D1"/>
    <w:rsid w:val="00421A86"/>
    <w:rsid w:val="00424AD7"/>
    <w:rsid w:val="004343C8"/>
    <w:rsid w:val="004367CE"/>
    <w:rsid w:val="00447A6F"/>
    <w:rsid w:val="00455E88"/>
    <w:rsid w:val="004615F1"/>
    <w:rsid w:val="00464891"/>
    <w:rsid w:val="00470261"/>
    <w:rsid w:val="00470DE2"/>
    <w:rsid w:val="00471B1A"/>
    <w:rsid w:val="00471C10"/>
    <w:rsid w:val="0047617E"/>
    <w:rsid w:val="00476890"/>
    <w:rsid w:val="004825A9"/>
    <w:rsid w:val="0049345E"/>
    <w:rsid w:val="00493B72"/>
    <w:rsid w:val="004A386F"/>
    <w:rsid w:val="004A4452"/>
    <w:rsid w:val="004A5E1F"/>
    <w:rsid w:val="004B15AD"/>
    <w:rsid w:val="004C3AE8"/>
    <w:rsid w:val="004D2672"/>
    <w:rsid w:val="004D619B"/>
    <w:rsid w:val="004E38E0"/>
    <w:rsid w:val="004E3F24"/>
    <w:rsid w:val="005009DE"/>
    <w:rsid w:val="00502968"/>
    <w:rsid w:val="005063BF"/>
    <w:rsid w:val="00521734"/>
    <w:rsid w:val="00524D52"/>
    <w:rsid w:val="00531B98"/>
    <w:rsid w:val="005343DB"/>
    <w:rsid w:val="00544919"/>
    <w:rsid w:val="0055147D"/>
    <w:rsid w:val="00551794"/>
    <w:rsid w:val="005567BF"/>
    <w:rsid w:val="005618AC"/>
    <w:rsid w:val="005869A8"/>
    <w:rsid w:val="005923A5"/>
    <w:rsid w:val="00592762"/>
    <w:rsid w:val="0059783B"/>
    <w:rsid w:val="005A1994"/>
    <w:rsid w:val="005B4CA0"/>
    <w:rsid w:val="005B4DFB"/>
    <w:rsid w:val="005B56DD"/>
    <w:rsid w:val="005C2136"/>
    <w:rsid w:val="005C586B"/>
    <w:rsid w:val="005C62F6"/>
    <w:rsid w:val="005D4B2A"/>
    <w:rsid w:val="005D5C84"/>
    <w:rsid w:val="005F3D63"/>
    <w:rsid w:val="005F59DD"/>
    <w:rsid w:val="006032A5"/>
    <w:rsid w:val="006036C4"/>
    <w:rsid w:val="00603C93"/>
    <w:rsid w:val="00605375"/>
    <w:rsid w:val="00621561"/>
    <w:rsid w:val="006233D2"/>
    <w:rsid w:val="00625EA8"/>
    <w:rsid w:val="006306AC"/>
    <w:rsid w:val="00635836"/>
    <w:rsid w:val="00636648"/>
    <w:rsid w:val="006409EE"/>
    <w:rsid w:val="0064196F"/>
    <w:rsid w:val="00654207"/>
    <w:rsid w:val="00665D52"/>
    <w:rsid w:val="0067369B"/>
    <w:rsid w:val="00675DC4"/>
    <w:rsid w:val="00690785"/>
    <w:rsid w:val="00691A95"/>
    <w:rsid w:val="00692414"/>
    <w:rsid w:val="006929A0"/>
    <w:rsid w:val="006A2FED"/>
    <w:rsid w:val="006A3C2E"/>
    <w:rsid w:val="006A4668"/>
    <w:rsid w:val="006A64C0"/>
    <w:rsid w:val="006B01EB"/>
    <w:rsid w:val="006B498F"/>
    <w:rsid w:val="006B5A92"/>
    <w:rsid w:val="006C2A00"/>
    <w:rsid w:val="006C71BE"/>
    <w:rsid w:val="006D687B"/>
    <w:rsid w:val="006E0C75"/>
    <w:rsid w:val="006E5939"/>
    <w:rsid w:val="006E7CD7"/>
    <w:rsid w:val="006F0E54"/>
    <w:rsid w:val="006F3A9B"/>
    <w:rsid w:val="006F3F7C"/>
    <w:rsid w:val="006F5A67"/>
    <w:rsid w:val="006F6DB7"/>
    <w:rsid w:val="006F731A"/>
    <w:rsid w:val="00700A2A"/>
    <w:rsid w:val="00702638"/>
    <w:rsid w:val="00711964"/>
    <w:rsid w:val="00712A1A"/>
    <w:rsid w:val="007138E9"/>
    <w:rsid w:val="00716279"/>
    <w:rsid w:val="0072178D"/>
    <w:rsid w:val="00723A26"/>
    <w:rsid w:val="00726937"/>
    <w:rsid w:val="00734399"/>
    <w:rsid w:val="007403AA"/>
    <w:rsid w:val="00741DBD"/>
    <w:rsid w:val="007427A2"/>
    <w:rsid w:val="007450FF"/>
    <w:rsid w:val="00750184"/>
    <w:rsid w:val="007501D9"/>
    <w:rsid w:val="007504DA"/>
    <w:rsid w:val="00750D12"/>
    <w:rsid w:val="0075201E"/>
    <w:rsid w:val="007570CC"/>
    <w:rsid w:val="00757681"/>
    <w:rsid w:val="00757BF3"/>
    <w:rsid w:val="00764273"/>
    <w:rsid w:val="0077240D"/>
    <w:rsid w:val="007732D4"/>
    <w:rsid w:val="00773B5B"/>
    <w:rsid w:val="00783F97"/>
    <w:rsid w:val="0079518A"/>
    <w:rsid w:val="007962AE"/>
    <w:rsid w:val="007A1DCF"/>
    <w:rsid w:val="007B1436"/>
    <w:rsid w:val="007B3355"/>
    <w:rsid w:val="007B38AB"/>
    <w:rsid w:val="007D76A1"/>
    <w:rsid w:val="007D76C5"/>
    <w:rsid w:val="007E583A"/>
    <w:rsid w:val="007E5F18"/>
    <w:rsid w:val="007F0C0A"/>
    <w:rsid w:val="007F1303"/>
    <w:rsid w:val="007F63E0"/>
    <w:rsid w:val="00801218"/>
    <w:rsid w:val="00802A1F"/>
    <w:rsid w:val="00804A7E"/>
    <w:rsid w:val="008077C9"/>
    <w:rsid w:val="008138E2"/>
    <w:rsid w:val="00825DDA"/>
    <w:rsid w:val="00826448"/>
    <w:rsid w:val="00826B52"/>
    <w:rsid w:val="008337A4"/>
    <w:rsid w:val="00834DA2"/>
    <w:rsid w:val="008357E2"/>
    <w:rsid w:val="00841D0A"/>
    <w:rsid w:val="00845A63"/>
    <w:rsid w:val="00850EDC"/>
    <w:rsid w:val="00853C7A"/>
    <w:rsid w:val="00861F94"/>
    <w:rsid w:val="00865CCE"/>
    <w:rsid w:val="00870845"/>
    <w:rsid w:val="00870912"/>
    <w:rsid w:val="00871FA5"/>
    <w:rsid w:val="0087290A"/>
    <w:rsid w:val="00872ED5"/>
    <w:rsid w:val="00881DE9"/>
    <w:rsid w:val="00882331"/>
    <w:rsid w:val="00894ECF"/>
    <w:rsid w:val="008971F6"/>
    <w:rsid w:val="008A3DE0"/>
    <w:rsid w:val="008A7473"/>
    <w:rsid w:val="008B28B6"/>
    <w:rsid w:val="008B30A3"/>
    <w:rsid w:val="008D1A10"/>
    <w:rsid w:val="008D3A23"/>
    <w:rsid w:val="008E705F"/>
    <w:rsid w:val="008F26D9"/>
    <w:rsid w:val="008F3263"/>
    <w:rsid w:val="008F62B5"/>
    <w:rsid w:val="008F6F9B"/>
    <w:rsid w:val="008F7F03"/>
    <w:rsid w:val="00901EBE"/>
    <w:rsid w:val="00907507"/>
    <w:rsid w:val="00911FBA"/>
    <w:rsid w:val="00912EEE"/>
    <w:rsid w:val="0092064B"/>
    <w:rsid w:val="00920F4F"/>
    <w:rsid w:val="00921A5A"/>
    <w:rsid w:val="00925B64"/>
    <w:rsid w:val="00933A29"/>
    <w:rsid w:val="00935244"/>
    <w:rsid w:val="009355CE"/>
    <w:rsid w:val="00937629"/>
    <w:rsid w:val="00937C5D"/>
    <w:rsid w:val="00941ABE"/>
    <w:rsid w:val="00947D38"/>
    <w:rsid w:val="009507A2"/>
    <w:rsid w:val="00951464"/>
    <w:rsid w:val="00951DE6"/>
    <w:rsid w:val="00952142"/>
    <w:rsid w:val="00980B35"/>
    <w:rsid w:val="009810CB"/>
    <w:rsid w:val="00983814"/>
    <w:rsid w:val="00991BC0"/>
    <w:rsid w:val="00992CA4"/>
    <w:rsid w:val="009931E8"/>
    <w:rsid w:val="0099460E"/>
    <w:rsid w:val="009A30F3"/>
    <w:rsid w:val="009A5AF0"/>
    <w:rsid w:val="009A60A9"/>
    <w:rsid w:val="009B0169"/>
    <w:rsid w:val="009B34C4"/>
    <w:rsid w:val="009C3CFB"/>
    <w:rsid w:val="009C7D6A"/>
    <w:rsid w:val="009D4589"/>
    <w:rsid w:val="009F1F98"/>
    <w:rsid w:val="009F287F"/>
    <w:rsid w:val="009F54A7"/>
    <w:rsid w:val="00A01A88"/>
    <w:rsid w:val="00A026AA"/>
    <w:rsid w:val="00A0428A"/>
    <w:rsid w:val="00A25473"/>
    <w:rsid w:val="00A26B4A"/>
    <w:rsid w:val="00A356CC"/>
    <w:rsid w:val="00A4291A"/>
    <w:rsid w:val="00A429B9"/>
    <w:rsid w:val="00A5160E"/>
    <w:rsid w:val="00A532F8"/>
    <w:rsid w:val="00A559F0"/>
    <w:rsid w:val="00A55B8E"/>
    <w:rsid w:val="00A61407"/>
    <w:rsid w:val="00A61A71"/>
    <w:rsid w:val="00A626E7"/>
    <w:rsid w:val="00A639CE"/>
    <w:rsid w:val="00A644E5"/>
    <w:rsid w:val="00A67EB4"/>
    <w:rsid w:val="00A70F7F"/>
    <w:rsid w:val="00A770C3"/>
    <w:rsid w:val="00A77608"/>
    <w:rsid w:val="00A81172"/>
    <w:rsid w:val="00A837FE"/>
    <w:rsid w:val="00A83CFF"/>
    <w:rsid w:val="00A85243"/>
    <w:rsid w:val="00A861B2"/>
    <w:rsid w:val="00A87144"/>
    <w:rsid w:val="00AA3440"/>
    <w:rsid w:val="00AB0345"/>
    <w:rsid w:val="00AB2263"/>
    <w:rsid w:val="00AB3F77"/>
    <w:rsid w:val="00AB42CB"/>
    <w:rsid w:val="00AB5302"/>
    <w:rsid w:val="00AC244D"/>
    <w:rsid w:val="00AC3F3A"/>
    <w:rsid w:val="00AC515B"/>
    <w:rsid w:val="00AC79E5"/>
    <w:rsid w:val="00AD1947"/>
    <w:rsid w:val="00AD19E5"/>
    <w:rsid w:val="00AD5F3B"/>
    <w:rsid w:val="00AD7971"/>
    <w:rsid w:val="00AE1771"/>
    <w:rsid w:val="00AE38F0"/>
    <w:rsid w:val="00AF110B"/>
    <w:rsid w:val="00B01F99"/>
    <w:rsid w:val="00B05924"/>
    <w:rsid w:val="00B06AD1"/>
    <w:rsid w:val="00B0750D"/>
    <w:rsid w:val="00B07A76"/>
    <w:rsid w:val="00B11CDF"/>
    <w:rsid w:val="00B13BC4"/>
    <w:rsid w:val="00B14F6C"/>
    <w:rsid w:val="00B15F08"/>
    <w:rsid w:val="00B16669"/>
    <w:rsid w:val="00B20662"/>
    <w:rsid w:val="00B21D3B"/>
    <w:rsid w:val="00B23A08"/>
    <w:rsid w:val="00B23E06"/>
    <w:rsid w:val="00B23EC9"/>
    <w:rsid w:val="00B306E3"/>
    <w:rsid w:val="00B342C8"/>
    <w:rsid w:val="00B530AD"/>
    <w:rsid w:val="00B55917"/>
    <w:rsid w:val="00B575EF"/>
    <w:rsid w:val="00B6080B"/>
    <w:rsid w:val="00B614AE"/>
    <w:rsid w:val="00B73989"/>
    <w:rsid w:val="00B757DA"/>
    <w:rsid w:val="00B80D96"/>
    <w:rsid w:val="00B82440"/>
    <w:rsid w:val="00B838BF"/>
    <w:rsid w:val="00B848A4"/>
    <w:rsid w:val="00B907BA"/>
    <w:rsid w:val="00B942D6"/>
    <w:rsid w:val="00B96E2D"/>
    <w:rsid w:val="00B97AB0"/>
    <w:rsid w:val="00BA1F6D"/>
    <w:rsid w:val="00BA20A7"/>
    <w:rsid w:val="00BA2A34"/>
    <w:rsid w:val="00BA4309"/>
    <w:rsid w:val="00BA5623"/>
    <w:rsid w:val="00BB1E35"/>
    <w:rsid w:val="00BC0BDE"/>
    <w:rsid w:val="00BC11F0"/>
    <w:rsid w:val="00BC5D23"/>
    <w:rsid w:val="00BC7BF7"/>
    <w:rsid w:val="00BD2B78"/>
    <w:rsid w:val="00BD3D89"/>
    <w:rsid w:val="00BE7515"/>
    <w:rsid w:val="00BF0A61"/>
    <w:rsid w:val="00BF41E1"/>
    <w:rsid w:val="00BF527F"/>
    <w:rsid w:val="00C017D6"/>
    <w:rsid w:val="00C01ED6"/>
    <w:rsid w:val="00C05AED"/>
    <w:rsid w:val="00C05BF1"/>
    <w:rsid w:val="00C11445"/>
    <w:rsid w:val="00C120D0"/>
    <w:rsid w:val="00C154DD"/>
    <w:rsid w:val="00C26112"/>
    <w:rsid w:val="00C333BC"/>
    <w:rsid w:val="00C435AE"/>
    <w:rsid w:val="00C51D53"/>
    <w:rsid w:val="00C51DE9"/>
    <w:rsid w:val="00C539CA"/>
    <w:rsid w:val="00C66D96"/>
    <w:rsid w:val="00C67831"/>
    <w:rsid w:val="00C67F49"/>
    <w:rsid w:val="00C710F1"/>
    <w:rsid w:val="00C7167E"/>
    <w:rsid w:val="00C7483E"/>
    <w:rsid w:val="00C760FE"/>
    <w:rsid w:val="00C92FD5"/>
    <w:rsid w:val="00C9353A"/>
    <w:rsid w:val="00CA0436"/>
    <w:rsid w:val="00CA28CF"/>
    <w:rsid w:val="00CA44E9"/>
    <w:rsid w:val="00CA6984"/>
    <w:rsid w:val="00CB5A22"/>
    <w:rsid w:val="00CB6B65"/>
    <w:rsid w:val="00CB7ED8"/>
    <w:rsid w:val="00CC4E67"/>
    <w:rsid w:val="00CC6D58"/>
    <w:rsid w:val="00CD4C7D"/>
    <w:rsid w:val="00CE076D"/>
    <w:rsid w:val="00CE1699"/>
    <w:rsid w:val="00CF25EA"/>
    <w:rsid w:val="00CF448B"/>
    <w:rsid w:val="00CF6836"/>
    <w:rsid w:val="00D02F10"/>
    <w:rsid w:val="00D04516"/>
    <w:rsid w:val="00D04C6F"/>
    <w:rsid w:val="00D0507F"/>
    <w:rsid w:val="00D10476"/>
    <w:rsid w:val="00D11091"/>
    <w:rsid w:val="00D14578"/>
    <w:rsid w:val="00D322C3"/>
    <w:rsid w:val="00D411EE"/>
    <w:rsid w:val="00D43172"/>
    <w:rsid w:val="00D52AEC"/>
    <w:rsid w:val="00D60465"/>
    <w:rsid w:val="00D66B3B"/>
    <w:rsid w:val="00D859F7"/>
    <w:rsid w:val="00D94EBB"/>
    <w:rsid w:val="00DA0906"/>
    <w:rsid w:val="00DA0E23"/>
    <w:rsid w:val="00DA36A2"/>
    <w:rsid w:val="00DA5422"/>
    <w:rsid w:val="00DB2DD2"/>
    <w:rsid w:val="00DB5F6A"/>
    <w:rsid w:val="00DC0CA3"/>
    <w:rsid w:val="00DC19D0"/>
    <w:rsid w:val="00DC3431"/>
    <w:rsid w:val="00DC4D93"/>
    <w:rsid w:val="00DD16A0"/>
    <w:rsid w:val="00DD2B4B"/>
    <w:rsid w:val="00DE0647"/>
    <w:rsid w:val="00DE24D7"/>
    <w:rsid w:val="00DE31AF"/>
    <w:rsid w:val="00DE4CDA"/>
    <w:rsid w:val="00DE6CC9"/>
    <w:rsid w:val="00DF36EB"/>
    <w:rsid w:val="00E016DD"/>
    <w:rsid w:val="00E04638"/>
    <w:rsid w:val="00E11AEC"/>
    <w:rsid w:val="00E131FC"/>
    <w:rsid w:val="00E17ACE"/>
    <w:rsid w:val="00E201C3"/>
    <w:rsid w:val="00E2208C"/>
    <w:rsid w:val="00E25ABF"/>
    <w:rsid w:val="00E278C6"/>
    <w:rsid w:val="00E339E2"/>
    <w:rsid w:val="00E34FA7"/>
    <w:rsid w:val="00E55048"/>
    <w:rsid w:val="00E5527E"/>
    <w:rsid w:val="00E6014E"/>
    <w:rsid w:val="00E66015"/>
    <w:rsid w:val="00E67FDD"/>
    <w:rsid w:val="00E727FC"/>
    <w:rsid w:val="00E77A13"/>
    <w:rsid w:val="00E8321C"/>
    <w:rsid w:val="00E84962"/>
    <w:rsid w:val="00E86CA5"/>
    <w:rsid w:val="00E962CA"/>
    <w:rsid w:val="00EA0DB2"/>
    <w:rsid w:val="00EA182A"/>
    <w:rsid w:val="00EA31A9"/>
    <w:rsid w:val="00EA451D"/>
    <w:rsid w:val="00EB2686"/>
    <w:rsid w:val="00EC0D3F"/>
    <w:rsid w:val="00EC17D2"/>
    <w:rsid w:val="00EC59FD"/>
    <w:rsid w:val="00ED2A25"/>
    <w:rsid w:val="00EE0F68"/>
    <w:rsid w:val="00EF3F38"/>
    <w:rsid w:val="00F01894"/>
    <w:rsid w:val="00F019F0"/>
    <w:rsid w:val="00F03664"/>
    <w:rsid w:val="00F042DF"/>
    <w:rsid w:val="00F066D2"/>
    <w:rsid w:val="00F1339E"/>
    <w:rsid w:val="00F13F89"/>
    <w:rsid w:val="00F1754E"/>
    <w:rsid w:val="00F266BC"/>
    <w:rsid w:val="00F27D40"/>
    <w:rsid w:val="00F313DD"/>
    <w:rsid w:val="00F34188"/>
    <w:rsid w:val="00F414D5"/>
    <w:rsid w:val="00F417BF"/>
    <w:rsid w:val="00F44E47"/>
    <w:rsid w:val="00F46B14"/>
    <w:rsid w:val="00F60A35"/>
    <w:rsid w:val="00F60ED6"/>
    <w:rsid w:val="00F6237B"/>
    <w:rsid w:val="00F6384D"/>
    <w:rsid w:val="00F75ADD"/>
    <w:rsid w:val="00F76454"/>
    <w:rsid w:val="00F84722"/>
    <w:rsid w:val="00F90FAE"/>
    <w:rsid w:val="00F93DF1"/>
    <w:rsid w:val="00F94650"/>
    <w:rsid w:val="00F96F87"/>
    <w:rsid w:val="00FA26B7"/>
    <w:rsid w:val="00FA5C7E"/>
    <w:rsid w:val="00FA6D65"/>
    <w:rsid w:val="00FB0875"/>
    <w:rsid w:val="00FD5031"/>
    <w:rsid w:val="00FD65DB"/>
    <w:rsid w:val="00FE0690"/>
    <w:rsid w:val="00FE4CB9"/>
    <w:rsid w:val="00FF2625"/>
    <w:rsid w:val="00FF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532"/>
  <w15:docId w15:val="{FF938C08-4AD3-46AC-9B2A-7A6E0EF8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7369B"/>
    <w:pPr>
      <w:contextualSpacing/>
    </w:pPr>
    <w:rPr>
      <w:rFonts w:ascii="Calibri" w:eastAsia="Calibri" w:hAnsi="Calibri" w:cs="Calibri"/>
      <w:color w:val="00000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C59FD"/>
    <w:pPr>
      <w:spacing w:before="100" w:beforeAutospacing="1" w:after="100" w:afterAutospacing="1" w:line="240" w:lineRule="auto"/>
      <w:contextualSpacing w:val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369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369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0F3"/>
    <w:rPr>
      <w:rFonts w:ascii="Tahoma" w:eastAsia="Calibri" w:hAnsi="Tahoma" w:cs="Tahoma"/>
      <w:color w:val="000000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E3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59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5F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F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F08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F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F08"/>
    <w:rPr>
      <w:rFonts w:ascii="Calibri" w:eastAsia="Calibri" w:hAnsi="Calibri" w:cs="Calibri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950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F41E1"/>
    <w:pPr>
      <w:spacing w:after="0" w:line="240" w:lineRule="auto"/>
    </w:pPr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12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34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9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923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75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29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07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5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7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5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841-B6CB-4F9F-9354-5A435D35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3237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Kratochvilova</dc:creator>
  <cp:lastModifiedBy>uzivatel</cp:lastModifiedBy>
  <cp:revision>9</cp:revision>
  <cp:lastPrinted>2018-11-28T11:39:00Z</cp:lastPrinted>
  <dcterms:created xsi:type="dcterms:W3CDTF">2019-04-08T07:25:00Z</dcterms:created>
  <dcterms:modified xsi:type="dcterms:W3CDTF">2019-04-08T15:29:00Z</dcterms:modified>
</cp:coreProperties>
</file>