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16FA" w14:textId="7DD019BA" w:rsidR="00102F42" w:rsidRDefault="00CF493F" w:rsidP="00C71A77">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Title of the paper</w:t>
      </w:r>
    </w:p>
    <w:p w14:paraId="020DD759" w14:textId="77777777" w:rsidR="00C71A77" w:rsidRPr="005D5E57" w:rsidRDefault="00C71A77" w:rsidP="00C71A77">
      <w:pPr>
        <w:spacing w:after="0" w:line="240" w:lineRule="auto"/>
        <w:jc w:val="center"/>
        <w:rPr>
          <w:rFonts w:ascii="Times New Roman" w:hAnsi="Times New Roman" w:cs="Times New Roman"/>
          <w:b/>
          <w:sz w:val="28"/>
          <w:szCs w:val="28"/>
          <w:lang w:val="en-GB"/>
        </w:rPr>
      </w:pPr>
    </w:p>
    <w:p w14:paraId="4CFC5C16" w14:textId="7B8EE6C2" w:rsidR="003060C1" w:rsidRDefault="00CF493F" w:rsidP="00C71A77">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F</w:t>
      </w:r>
      <w:r w:rsidR="003060C1" w:rsidRPr="005D5E57">
        <w:rPr>
          <w:rFonts w:ascii="Times New Roman" w:hAnsi="Times New Roman" w:cs="Times New Roman"/>
          <w:sz w:val="24"/>
          <w:szCs w:val="24"/>
          <w:lang w:val="en-GB"/>
        </w:rPr>
        <w:t xml:space="preserve">irst name </w:t>
      </w:r>
      <w:r>
        <w:rPr>
          <w:rFonts w:ascii="Times New Roman" w:hAnsi="Times New Roman" w:cs="Times New Roman"/>
          <w:sz w:val="24"/>
          <w:szCs w:val="24"/>
          <w:lang w:val="en-GB"/>
        </w:rPr>
        <w:t>and SURNAME of the authors</w:t>
      </w:r>
    </w:p>
    <w:p w14:paraId="723EB298" w14:textId="77777777" w:rsidR="00C71A77" w:rsidRPr="005D5E57" w:rsidRDefault="00C71A77" w:rsidP="00C71A77">
      <w:pPr>
        <w:spacing w:after="0" w:line="240" w:lineRule="auto"/>
        <w:jc w:val="center"/>
        <w:rPr>
          <w:rFonts w:ascii="Times New Roman" w:hAnsi="Times New Roman" w:cs="Times New Roman"/>
          <w:sz w:val="24"/>
          <w:szCs w:val="24"/>
          <w:lang w:val="en-GB"/>
        </w:rPr>
      </w:pPr>
    </w:p>
    <w:p w14:paraId="08658566" w14:textId="3437A15B" w:rsidR="003060C1" w:rsidRDefault="008D4525" w:rsidP="00DE7166">
      <w:pPr>
        <w:keepNext/>
        <w:spacing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Abstract </w:t>
      </w:r>
    </w:p>
    <w:p w14:paraId="39BB3F85" w14:textId="3297E085" w:rsidR="003060C1" w:rsidRDefault="005D5E57" w:rsidP="006448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Please insert a short abstract (summary) here. </w:t>
      </w:r>
      <w:r w:rsidR="00EA4EDD" w:rsidRPr="005D5E57">
        <w:rPr>
          <w:rFonts w:ascii="Times New Roman" w:hAnsi="Times New Roman" w:cs="Times New Roman"/>
          <w:sz w:val="24"/>
          <w:szCs w:val="24"/>
          <w:lang w:val="en-GB"/>
        </w:rPr>
        <w:t xml:space="preserve">When writing </w:t>
      </w:r>
      <w:r w:rsidR="005E7E99" w:rsidRPr="005D5E57">
        <w:rPr>
          <w:rFonts w:ascii="Times New Roman" w:hAnsi="Times New Roman" w:cs="Times New Roman"/>
          <w:sz w:val="24"/>
          <w:szCs w:val="24"/>
          <w:lang w:val="en-GB"/>
        </w:rPr>
        <w:t xml:space="preserve">an abstract, please be aware, it </w:t>
      </w:r>
      <w:r w:rsidR="00C71A77">
        <w:rPr>
          <w:rFonts w:ascii="Times New Roman" w:hAnsi="Times New Roman" w:cs="Times New Roman"/>
          <w:sz w:val="24"/>
          <w:szCs w:val="24"/>
          <w:lang w:val="en-GB"/>
        </w:rPr>
        <w:t xml:space="preserve">should be informative and </w:t>
      </w:r>
      <w:r w:rsidR="005E7E99" w:rsidRPr="005D5E57">
        <w:rPr>
          <w:rFonts w:ascii="Times New Roman" w:hAnsi="Times New Roman" w:cs="Times New Roman"/>
          <w:sz w:val="24"/>
          <w:szCs w:val="24"/>
          <w:lang w:val="en-GB"/>
        </w:rPr>
        <w:t xml:space="preserve">stress </w:t>
      </w:r>
      <w:r w:rsidR="00C71A77">
        <w:rPr>
          <w:rFonts w:ascii="Times New Roman" w:hAnsi="Times New Roman" w:cs="Times New Roman"/>
          <w:sz w:val="24"/>
          <w:szCs w:val="24"/>
          <w:lang w:val="en-GB"/>
        </w:rPr>
        <w:t>main</w:t>
      </w:r>
      <w:r w:rsidR="005E7E99" w:rsidRPr="005D5E57">
        <w:rPr>
          <w:rFonts w:ascii="Times New Roman" w:hAnsi="Times New Roman" w:cs="Times New Roman"/>
          <w:sz w:val="24"/>
          <w:szCs w:val="24"/>
          <w:lang w:val="en-GB"/>
        </w:rPr>
        <w:t xml:space="preserve"> conclusions</w:t>
      </w:r>
      <w:r w:rsidR="00C71A77">
        <w:rPr>
          <w:rFonts w:ascii="Times New Roman" w:hAnsi="Times New Roman" w:cs="Times New Roman"/>
          <w:sz w:val="24"/>
          <w:szCs w:val="24"/>
          <w:lang w:val="en-GB"/>
        </w:rPr>
        <w:t xml:space="preserve"> and results</w:t>
      </w:r>
      <w:r w:rsidR="005E7E99" w:rsidRPr="005D5E57">
        <w:rPr>
          <w:rFonts w:ascii="Times New Roman" w:hAnsi="Times New Roman" w:cs="Times New Roman"/>
          <w:sz w:val="24"/>
          <w:szCs w:val="24"/>
          <w:lang w:val="en-GB"/>
        </w:rPr>
        <w:t xml:space="preserve"> of the </w:t>
      </w:r>
      <w:r w:rsidR="00644835">
        <w:rPr>
          <w:rFonts w:ascii="Times New Roman" w:hAnsi="Times New Roman" w:cs="Times New Roman"/>
          <w:sz w:val="24"/>
          <w:szCs w:val="24"/>
          <w:lang w:val="en-GB"/>
        </w:rPr>
        <w:t>paper</w:t>
      </w:r>
      <w:r w:rsidR="005E7E99" w:rsidRPr="005D5E57">
        <w:rPr>
          <w:rFonts w:ascii="Times New Roman" w:hAnsi="Times New Roman" w:cs="Times New Roman"/>
          <w:sz w:val="24"/>
          <w:szCs w:val="24"/>
          <w:lang w:val="en-GB"/>
        </w:rPr>
        <w:t xml:space="preserve"> in the very clear and concise form</w:t>
      </w:r>
      <w:r w:rsidR="00C71A77">
        <w:rPr>
          <w:rFonts w:ascii="Times New Roman" w:hAnsi="Times New Roman" w:cs="Times New Roman"/>
          <w:sz w:val="24"/>
          <w:szCs w:val="24"/>
          <w:lang w:val="en-GB"/>
        </w:rPr>
        <w:t xml:space="preserve"> to provide significance of the </w:t>
      </w:r>
      <w:r w:rsidR="00CF493F">
        <w:rPr>
          <w:rFonts w:ascii="Times New Roman" w:hAnsi="Times New Roman" w:cs="Times New Roman"/>
          <w:sz w:val="24"/>
          <w:szCs w:val="24"/>
          <w:lang w:val="en-GB"/>
        </w:rPr>
        <w:t>paper</w:t>
      </w:r>
      <w:r w:rsidR="005E7E99" w:rsidRPr="005D5E57">
        <w:rPr>
          <w:rFonts w:ascii="Times New Roman" w:hAnsi="Times New Roman" w:cs="Times New Roman"/>
          <w:sz w:val="24"/>
          <w:szCs w:val="24"/>
          <w:lang w:val="en-GB"/>
        </w:rPr>
        <w:t xml:space="preserve">. </w:t>
      </w:r>
      <w:r w:rsidR="00C71A77">
        <w:rPr>
          <w:rFonts w:ascii="Times New Roman" w:hAnsi="Times New Roman" w:cs="Times New Roman"/>
          <w:sz w:val="24"/>
          <w:szCs w:val="24"/>
          <w:lang w:val="en-GB"/>
        </w:rPr>
        <w:t xml:space="preserve">Use short and direct sentences. The length </w:t>
      </w:r>
      <w:r w:rsidR="00644835">
        <w:rPr>
          <w:rFonts w:ascii="Times New Roman" w:hAnsi="Times New Roman" w:cs="Times New Roman"/>
          <w:sz w:val="24"/>
          <w:szCs w:val="24"/>
          <w:lang w:val="en-GB"/>
        </w:rPr>
        <w:t>of the paper</w:t>
      </w:r>
      <w:r w:rsidR="00C71A77">
        <w:rPr>
          <w:rFonts w:ascii="Times New Roman" w:hAnsi="Times New Roman" w:cs="Times New Roman"/>
          <w:sz w:val="24"/>
          <w:szCs w:val="24"/>
          <w:lang w:val="en-GB"/>
        </w:rPr>
        <w:t xml:space="preserve"> should be </w:t>
      </w:r>
      <w:r w:rsidR="00CF493F">
        <w:rPr>
          <w:rFonts w:ascii="Times New Roman" w:hAnsi="Times New Roman" w:cs="Times New Roman"/>
          <w:sz w:val="24"/>
          <w:szCs w:val="24"/>
          <w:lang w:val="en-GB"/>
        </w:rPr>
        <w:t>10</w:t>
      </w:r>
      <w:r w:rsidR="00C71A77">
        <w:rPr>
          <w:rFonts w:ascii="Times New Roman" w:hAnsi="Times New Roman" w:cs="Times New Roman"/>
          <w:sz w:val="24"/>
          <w:szCs w:val="24"/>
          <w:lang w:val="en-GB"/>
        </w:rPr>
        <w:t xml:space="preserve"> lines</w:t>
      </w:r>
      <w:r w:rsidR="00CF493F">
        <w:rPr>
          <w:rFonts w:ascii="Times New Roman" w:hAnsi="Times New Roman" w:cs="Times New Roman"/>
          <w:sz w:val="24"/>
          <w:szCs w:val="24"/>
          <w:lang w:val="en-GB"/>
        </w:rPr>
        <w:t xml:space="preserve"> at maximum</w:t>
      </w:r>
      <w:r w:rsidR="00C71A77">
        <w:rPr>
          <w:rFonts w:ascii="Times New Roman" w:hAnsi="Times New Roman" w:cs="Times New Roman"/>
          <w:sz w:val="24"/>
          <w:szCs w:val="24"/>
          <w:lang w:val="en-GB"/>
        </w:rPr>
        <w:t>.</w:t>
      </w:r>
    </w:p>
    <w:p w14:paraId="3BC3D4F6" w14:textId="77777777" w:rsidR="00C71A77" w:rsidRPr="005D5E57" w:rsidRDefault="00C71A77" w:rsidP="00C71A77">
      <w:pPr>
        <w:spacing w:after="0" w:line="240" w:lineRule="auto"/>
        <w:jc w:val="both"/>
        <w:rPr>
          <w:rFonts w:ascii="Times New Roman" w:hAnsi="Times New Roman" w:cs="Times New Roman"/>
          <w:sz w:val="24"/>
          <w:szCs w:val="24"/>
          <w:lang w:val="en-GB"/>
        </w:rPr>
      </w:pPr>
    </w:p>
    <w:p w14:paraId="5F80A443" w14:textId="77777777" w:rsidR="003060C1" w:rsidRPr="005D5E57" w:rsidRDefault="003060C1" w:rsidP="00DE7166">
      <w:pPr>
        <w:keepNext/>
        <w:spacing w:after="12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t>Key words</w:t>
      </w:r>
    </w:p>
    <w:p w14:paraId="652A7B19" w14:textId="77777777" w:rsidR="003060C1" w:rsidRPr="005D5E57" w:rsidRDefault="005E7E99" w:rsidP="00C71A77">
      <w:pPr>
        <w:spacing w:after="0" w:line="240" w:lineRule="auto"/>
        <w:rPr>
          <w:rFonts w:ascii="Times New Roman" w:hAnsi="Times New Roman" w:cs="Times New Roman"/>
          <w:sz w:val="24"/>
          <w:szCs w:val="24"/>
          <w:lang w:val="en-GB"/>
        </w:rPr>
      </w:pPr>
      <w:r w:rsidRPr="005D5E57">
        <w:rPr>
          <w:rFonts w:ascii="Times New Roman" w:hAnsi="Times New Roman" w:cs="Times New Roman"/>
          <w:sz w:val="24"/>
          <w:szCs w:val="24"/>
          <w:lang w:val="en-GB"/>
        </w:rPr>
        <w:t>Please write down from 3 to 5 key words or key phrases separated by semi comas.</w:t>
      </w:r>
    </w:p>
    <w:p w14:paraId="54E7C4E5" w14:textId="77777777" w:rsidR="00644835" w:rsidRDefault="00644835" w:rsidP="00C71A77">
      <w:pPr>
        <w:spacing w:after="0" w:line="240" w:lineRule="auto"/>
        <w:rPr>
          <w:rFonts w:ascii="Times New Roman" w:hAnsi="Times New Roman" w:cs="Times New Roman"/>
          <w:b/>
          <w:sz w:val="24"/>
          <w:szCs w:val="24"/>
          <w:lang w:val="en-GB"/>
        </w:rPr>
      </w:pPr>
    </w:p>
    <w:p w14:paraId="29C16957" w14:textId="77777777" w:rsidR="003060C1" w:rsidRPr="005D5E57" w:rsidRDefault="003060C1"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t>Introduction</w:t>
      </w:r>
      <w:bookmarkStart w:id="0" w:name="_GoBack"/>
      <w:bookmarkEnd w:id="0"/>
    </w:p>
    <w:p w14:paraId="7BF300B9" w14:textId="300B4810" w:rsidR="003060C1" w:rsidRDefault="00644835" w:rsidP="00CF493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paper template provides guideline for authors to prepare a conference proceedings paper in suitable format. Please follow the instruction of this guideline to avoid future complications.</w:t>
      </w:r>
    </w:p>
    <w:p w14:paraId="1A75B0C5" w14:textId="03140B44" w:rsidR="00644835" w:rsidRDefault="00644835" w:rsidP="00644835">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For submission of the paper please name the file with the surname of the first author (</w:t>
      </w:r>
      <w:r w:rsidRPr="00CF493F">
        <w:rPr>
          <w:rFonts w:ascii="Times New Roman" w:hAnsi="Times New Roman" w:cs="Times New Roman"/>
          <w:i/>
          <w:sz w:val="24"/>
          <w:szCs w:val="24"/>
          <w:lang w:val="en-GB"/>
        </w:rPr>
        <w:t>e.g. marinic.docx</w:t>
      </w:r>
      <w:r>
        <w:rPr>
          <w:rFonts w:ascii="Times New Roman" w:hAnsi="Times New Roman" w:cs="Times New Roman"/>
          <w:sz w:val="24"/>
          <w:szCs w:val="24"/>
          <w:lang w:val="en-GB"/>
        </w:rPr>
        <w:t>) and upload this file via web page of the conference.</w:t>
      </w:r>
    </w:p>
    <w:p w14:paraId="08434960" w14:textId="6B09AD36" w:rsidR="00BF3BF9" w:rsidRPr="005D5E57" w:rsidRDefault="0064483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length of the paper should be </w:t>
      </w:r>
      <w:r w:rsidR="00BF3BF9">
        <w:rPr>
          <w:rFonts w:ascii="Times New Roman" w:hAnsi="Times New Roman" w:cs="Times New Roman"/>
          <w:sz w:val="24"/>
          <w:szCs w:val="24"/>
          <w:lang w:val="en-GB"/>
        </w:rPr>
        <w:t xml:space="preserve">at least 4 pages. Maximum pages of the paper </w:t>
      </w:r>
      <w:r w:rsidR="00CF493F">
        <w:rPr>
          <w:rFonts w:ascii="Times New Roman" w:hAnsi="Times New Roman" w:cs="Times New Roman"/>
          <w:sz w:val="24"/>
          <w:szCs w:val="24"/>
          <w:lang w:val="en-GB"/>
        </w:rPr>
        <w:t>are</w:t>
      </w:r>
      <w:r w:rsidR="00BF3BF9">
        <w:rPr>
          <w:rFonts w:ascii="Times New Roman" w:hAnsi="Times New Roman" w:cs="Times New Roman"/>
          <w:sz w:val="24"/>
          <w:szCs w:val="24"/>
          <w:lang w:val="en-GB"/>
        </w:rPr>
        <w:t xml:space="preserve"> not s</w:t>
      </w:r>
      <w:r w:rsidR="00CF493F">
        <w:rPr>
          <w:rFonts w:ascii="Times New Roman" w:hAnsi="Times New Roman" w:cs="Times New Roman"/>
          <w:sz w:val="24"/>
          <w:szCs w:val="24"/>
          <w:lang w:val="en-GB"/>
        </w:rPr>
        <w:t xml:space="preserve">et, however please have in mind, that paper is a scholar text referring orderly, simply, concisely a consistently about the chosen topic.    </w:t>
      </w:r>
    </w:p>
    <w:p w14:paraId="346FBC68" w14:textId="0FB99437" w:rsidR="003060C1" w:rsidRPr="005D5E57" w:rsidRDefault="00956339" w:rsidP="00DE7166">
      <w:pPr>
        <w:keepNext/>
        <w:spacing w:before="360" w:after="24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Heading for block of text</w:t>
      </w:r>
    </w:p>
    <w:p w14:paraId="62635298" w14:textId="32090DB7" w:rsidR="008D4525" w:rsidRDefault="00BF3BF9" w:rsidP="00CF493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page: Use standard layout with the 3cm edges (top, bottom, left and right). </w:t>
      </w:r>
      <w:r w:rsidR="00CF493F">
        <w:rPr>
          <w:rFonts w:ascii="Times New Roman" w:hAnsi="Times New Roman" w:cs="Times New Roman"/>
          <w:sz w:val="24"/>
          <w:szCs w:val="24"/>
          <w:lang w:val="en-GB"/>
        </w:rPr>
        <w:t xml:space="preserve">Use Times New Roman font and simple </w:t>
      </w:r>
      <w:r w:rsidR="004B23EB">
        <w:rPr>
          <w:rFonts w:ascii="Times New Roman" w:hAnsi="Times New Roman" w:cs="Times New Roman"/>
          <w:sz w:val="24"/>
          <w:szCs w:val="24"/>
          <w:lang w:val="en-GB"/>
        </w:rPr>
        <w:t>line spacing</w:t>
      </w:r>
      <w:r w:rsidR="00CF493F">
        <w:rPr>
          <w:rFonts w:ascii="Times New Roman" w:hAnsi="Times New Roman" w:cs="Times New Roman"/>
          <w:sz w:val="24"/>
          <w:szCs w:val="24"/>
          <w:lang w:val="en-GB"/>
        </w:rPr>
        <w:t xml:space="preserve"> in whole document. Do not numbering the pages. </w:t>
      </w:r>
    </w:p>
    <w:p w14:paraId="5C4F6427" w14:textId="00C9B9D6" w:rsidR="008D4525" w:rsidRDefault="008D452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paper heading: Use </w:t>
      </w:r>
      <w:r w:rsidR="004B23EB">
        <w:rPr>
          <w:rFonts w:ascii="Times New Roman" w:hAnsi="Times New Roman" w:cs="Times New Roman"/>
          <w:sz w:val="24"/>
          <w:szCs w:val="24"/>
          <w:lang w:val="en-GB"/>
        </w:rPr>
        <w:t>bold style font volume 14</w:t>
      </w:r>
      <w:r>
        <w:rPr>
          <w:rFonts w:ascii="Times New Roman" w:hAnsi="Times New Roman" w:cs="Times New Roman"/>
          <w:sz w:val="24"/>
          <w:szCs w:val="24"/>
          <w:lang w:val="en-GB"/>
        </w:rPr>
        <w:t xml:space="preserve">. Do not divide the words. Use alignment to centre. </w:t>
      </w:r>
    </w:p>
    <w:p w14:paraId="2C69A353" w14:textId="0D69066A" w:rsidR="00626485" w:rsidRDefault="0062648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information about authors: Name of the author(s) </w:t>
      </w:r>
      <w:r w:rsidR="00A67A2F">
        <w:rPr>
          <w:rFonts w:ascii="Times New Roman" w:hAnsi="Times New Roman" w:cs="Times New Roman"/>
          <w:sz w:val="24"/>
          <w:szCs w:val="24"/>
          <w:lang w:val="en-GB"/>
        </w:rPr>
        <w:t xml:space="preserve">is inserted without the degrees in </w:t>
      </w:r>
      <w:r w:rsidR="004B23EB">
        <w:rPr>
          <w:rFonts w:ascii="Times New Roman" w:hAnsi="Times New Roman" w:cs="Times New Roman"/>
          <w:sz w:val="24"/>
          <w:szCs w:val="24"/>
          <w:lang w:val="en-GB"/>
        </w:rPr>
        <w:t xml:space="preserve">font </w:t>
      </w:r>
      <w:r w:rsidR="00A67A2F">
        <w:rPr>
          <w:rFonts w:ascii="Times New Roman" w:hAnsi="Times New Roman" w:cs="Times New Roman"/>
          <w:sz w:val="24"/>
          <w:szCs w:val="24"/>
          <w:lang w:val="en-GB"/>
        </w:rPr>
        <w:t xml:space="preserve">volume 12. For surname(s) capitals should be used. In case of more authors, full names are divided by </w:t>
      </w:r>
      <w:r w:rsidR="00CF493F">
        <w:rPr>
          <w:rFonts w:ascii="Times New Roman" w:hAnsi="Times New Roman" w:cs="Times New Roman"/>
          <w:sz w:val="24"/>
          <w:szCs w:val="24"/>
          <w:lang w:val="en-GB"/>
        </w:rPr>
        <w:t xml:space="preserve">semi </w:t>
      </w:r>
      <w:r w:rsidR="00A67A2F">
        <w:rPr>
          <w:rFonts w:ascii="Times New Roman" w:hAnsi="Times New Roman" w:cs="Times New Roman"/>
          <w:sz w:val="24"/>
          <w:szCs w:val="24"/>
          <w:lang w:val="en-GB"/>
        </w:rPr>
        <w:t>commas.</w:t>
      </w:r>
      <w:r w:rsidR="00CF493F">
        <w:rPr>
          <w:rFonts w:ascii="Times New Roman" w:hAnsi="Times New Roman" w:cs="Times New Roman"/>
          <w:sz w:val="24"/>
          <w:szCs w:val="24"/>
          <w:lang w:val="en-GB"/>
        </w:rPr>
        <w:t xml:space="preserve"> The name of the corresponding author should be inserted at the first place.</w:t>
      </w:r>
    </w:p>
    <w:p w14:paraId="0D915A74" w14:textId="55962117" w:rsidR="00A67A2F" w:rsidRDefault="00A67A2F"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layout of the abstract: Use font volume 12 with block alignment</w:t>
      </w:r>
      <w:r w:rsidR="004B23EB">
        <w:rPr>
          <w:rFonts w:ascii="Times New Roman" w:hAnsi="Times New Roman" w:cs="Times New Roman"/>
          <w:sz w:val="24"/>
          <w:szCs w:val="24"/>
          <w:lang w:val="en-GB"/>
        </w:rPr>
        <w:t xml:space="preserve"> without any indentation</w:t>
      </w:r>
      <w:r>
        <w:rPr>
          <w:rFonts w:ascii="Times New Roman" w:hAnsi="Times New Roman" w:cs="Times New Roman"/>
          <w:sz w:val="24"/>
          <w:szCs w:val="24"/>
          <w:lang w:val="en-GB"/>
        </w:rPr>
        <w:t xml:space="preserve">. Use bold style for the heading “Abstract”. </w:t>
      </w:r>
      <w:r w:rsidR="004B23EB">
        <w:rPr>
          <w:rFonts w:ascii="Times New Roman" w:hAnsi="Times New Roman" w:cs="Times New Roman"/>
          <w:sz w:val="24"/>
          <w:szCs w:val="24"/>
          <w:lang w:val="en-GB"/>
        </w:rPr>
        <w:t>Use italics for the text of the abstract</w:t>
      </w:r>
      <w:r>
        <w:rPr>
          <w:rFonts w:ascii="Times New Roman" w:hAnsi="Times New Roman" w:cs="Times New Roman"/>
          <w:sz w:val="24"/>
          <w:szCs w:val="24"/>
          <w:lang w:val="en-GB"/>
        </w:rPr>
        <w:t>.</w:t>
      </w:r>
    </w:p>
    <w:p w14:paraId="210E6FA6" w14:textId="5F027FA6" w:rsidR="004B23EB" w:rsidRDefault="004B23EB"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 layout of the key words: Use italics font volume 12 with left alignment without any indentation. Use bold style for the heading “Key words”. Insert from 3 to 5 key words or key phrases separated by semi commas which capture the essence of the paper. Use italics.</w:t>
      </w:r>
    </w:p>
    <w:p w14:paraId="01AD0FDA" w14:textId="2A0483D5" w:rsidR="006C6F83" w:rsidRDefault="008D4525"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text: </w:t>
      </w:r>
      <w:r w:rsidR="006C6F83">
        <w:rPr>
          <w:rFonts w:ascii="Times New Roman" w:hAnsi="Times New Roman" w:cs="Times New Roman"/>
          <w:sz w:val="24"/>
          <w:szCs w:val="24"/>
          <w:lang w:val="en-GB"/>
        </w:rPr>
        <w:t xml:space="preserve">Use font volume 12 for text </w:t>
      </w:r>
      <w:r w:rsidR="004B23EB">
        <w:rPr>
          <w:rFonts w:ascii="Times New Roman" w:hAnsi="Times New Roman" w:cs="Times New Roman"/>
          <w:sz w:val="24"/>
          <w:szCs w:val="24"/>
          <w:lang w:val="en-GB"/>
        </w:rPr>
        <w:t>with block alignment</w:t>
      </w:r>
      <w:r w:rsidR="006C6F83">
        <w:rPr>
          <w:rFonts w:ascii="Times New Roman" w:hAnsi="Times New Roman" w:cs="Times New Roman"/>
          <w:sz w:val="24"/>
          <w:szCs w:val="24"/>
          <w:lang w:val="en-GB"/>
        </w:rPr>
        <w:t xml:space="preserve">. </w:t>
      </w:r>
      <w:r w:rsidR="004B23EB">
        <w:rPr>
          <w:rFonts w:ascii="Times New Roman" w:hAnsi="Times New Roman" w:cs="Times New Roman"/>
          <w:sz w:val="24"/>
          <w:szCs w:val="24"/>
          <w:lang w:val="en-GB"/>
        </w:rPr>
        <w:t>For</w:t>
      </w:r>
      <w:r w:rsidR="006C6F83">
        <w:rPr>
          <w:rFonts w:ascii="Times New Roman" w:hAnsi="Times New Roman" w:cs="Times New Roman"/>
          <w:sz w:val="24"/>
          <w:szCs w:val="24"/>
          <w:lang w:val="en-GB"/>
        </w:rPr>
        <w:t xml:space="preserve"> </w:t>
      </w:r>
      <w:r w:rsidR="00BF3BF9">
        <w:rPr>
          <w:rFonts w:ascii="Times New Roman" w:hAnsi="Times New Roman" w:cs="Times New Roman"/>
          <w:sz w:val="24"/>
          <w:szCs w:val="24"/>
          <w:lang w:val="en-GB"/>
        </w:rPr>
        <w:t>the first line</w:t>
      </w:r>
      <w:r w:rsidR="006C6F83">
        <w:rPr>
          <w:rFonts w:ascii="Times New Roman" w:hAnsi="Times New Roman" w:cs="Times New Roman"/>
          <w:sz w:val="24"/>
          <w:szCs w:val="24"/>
          <w:lang w:val="en-GB"/>
        </w:rPr>
        <w:t xml:space="preserve"> of the paragraph</w:t>
      </w:r>
      <w:r w:rsidR="004B23EB">
        <w:rPr>
          <w:rFonts w:ascii="Times New Roman" w:hAnsi="Times New Roman" w:cs="Times New Roman"/>
          <w:sz w:val="24"/>
          <w:szCs w:val="24"/>
          <w:lang w:val="en-GB"/>
        </w:rPr>
        <w:t xml:space="preserve"> use 0.5 cm indentation</w:t>
      </w:r>
      <w:r w:rsidR="006C6F83">
        <w:rPr>
          <w:rFonts w:ascii="Times New Roman" w:hAnsi="Times New Roman" w:cs="Times New Roman"/>
          <w:sz w:val="24"/>
          <w:szCs w:val="24"/>
          <w:lang w:val="en-GB"/>
        </w:rPr>
        <w:t>.</w:t>
      </w:r>
      <w:r w:rsidR="00E32038">
        <w:rPr>
          <w:rFonts w:ascii="Times New Roman" w:hAnsi="Times New Roman" w:cs="Times New Roman"/>
          <w:sz w:val="24"/>
          <w:szCs w:val="24"/>
          <w:lang w:val="en-GB"/>
        </w:rPr>
        <w:t xml:space="preserve"> Do not use indentation for the first line after the heading of text´s blocks or in the case of text continuing after the graphics inserted in the text. </w:t>
      </w:r>
      <w:r>
        <w:rPr>
          <w:rFonts w:ascii="Times New Roman" w:hAnsi="Times New Roman" w:cs="Times New Roman"/>
          <w:sz w:val="24"/>
          <w:szCs w:val="24"/>
          <w:lang w:val="en-GB"/>
        </w:rPr>
        <w:t xml:space="preserve">For headings </w:t>
      </w:r>
      <w:r w:rsidR="00E32038">
        <w:rPr>
          <w:rFonts w:ascii="Times New Roman" w:hAnsi="Times New Roman" w:cs="Times New Roman"/>
          <w:sz w:val="24"/>
          <w:szCs w:val="24"/>
          <w:lang w:val="en-GB"/>
        </w:rPr>
        <w:t xml:space="preserve">of text´s blocks </w:t>
      </w:r>
      <w:r w:rsidR="00626485">
        <w:rPr>
          <w:rFonts w:ascii="Times New Roman" w:hAnsi="Times New Roman" w:cs="Times New Roman"/>
          <w:sz w:val="24"/>
          <w:szCs w:val="24"/>
          <w:lang w:val="en-GB"/>
        </w:rPr>
        <w:t xml:space="preserve">use font volume 12 in bold style </w:t>
      </w:r>
      <w:r w:rsidR="00E32038">
        <w:rPr>
          <w:rFonts w:ascii="Times New Roman" w:hAnsi="Times New Roman" w:cs="Times New Roman"/>
          <w:sz w:val="24"/>
          <w:szCs w:val="24"/>
          <w:lang w:val="en-GB"/>
        </w:rPr>
        <w:t xml:space="preserve">and left alignment </w:t>
      </w:r>
      <w:r w:rsidR="00626485">
        <w:rPr>
          <w:rFonts w:ascii="Times New Roman" w:hAnsi="Times New Roman" w:cs="Times New Roman"/>
          <w:sz w:val="24"/>
          <w:szCs w:val="24"/>
          <w:lang w:val="en-GB"/>
        </w:rPr>
        <w:lastRenderedPageBreak/>
        <w:t xml:space="preserve">with the </w:t>
      </w:r>
      <w:r w:rsidR="00E32038">
        <w:rPr>
          <w:rFonts w:ascii="Times New Roman" w:hAnsi="Times New Roman" w:cs="Times New Roman"/>
          <w:sz w:val="24"/>
          <w:szCs w:val="24"/>
          <w:lang w:val="en-GB"/>
        </w:rPr>
        <w:t xml:space="preserve">spacing </w:t>
      </w:r>
      <w:r w:rsidR="00626485">
        <w:rPr>
          <w:rFonts w:ascii="Times New Roman" w:hAnsi="Times New Roman" w:cs="Times New Roman"/>
          <w:sz w:val="24"/>
          <w:szCs w:val="24"/>
          <w:lang w:val="en-GB"/>
        </w:rPr>
        <w:t xml:space="preserve">before </w:t>
      </w:r>
      <w:r w:rsidR="00E32038">
        <w:rPr>
          <w:rFonts w:ascii="Times New Roman" w:hAnsi="Times New Roman" w:cs="Times New Roman"/>
          <w:sz w:val="24"/>
          <w:szCs w:val="24"/>
          <w:lang w:val="en-GB"/>
        </w:rPr>
        <w:t xml:space="preserve">the heading in volume 18 </w:t>
      </w:r>
      <w:r w:rsidR="00626485">
        <w:rPr>
          <w:rFonts w:ascii="Times New Roman" w:hAnsi="Times New Roman" w:cs="Times New Roman"/>
          <w:sz w:val="24"/>
          <w:szCs w:val="24"/>
          <w:lang w:val="en-GB"/>
        </w:rPr>
        <w:t xml:space="preserve">and after the heading spacing </w:t>
      </w:r>
      <w:r w:rsidR="00E32038">
        <w:rPr>
          <w:rFonts w:ascii="Times New Roman" w:hAnsi="Times New Roman" w:cs="Times New Roman"/>
          <w:sz w:val="24"/>
          <w:szCs w:val="24"/>
          <w:lang w:val="en-GB"/>
        </w:rPr>
        <w:t xml:space="preserve">in </w:t>
      </w:r>
      <w:r w:rsidR="00626485">
        <w:rPr>
          <w:rFonts w:ascii="Times New Roman" w:hAnsi="Times New Roman" w:cs="Times New Roman"/>
          <w:sz w:val="24"/>
          <w:szCs w:val="24"/>
          <w:lang w:val="en-GB"/>
        </w:rPr>
        <w:t xml:space="preserve">volume </w:t>
      </w:r>
      <w:r w:rsidR="00E32038">
        <w:rPr>
          <w:rFonts w:ascii="Times New Roman" w:hAnsi="Times New Roman" w:cs="Times New Roman"/>
          <w:sz w:val="24"/>
          <w:szCs w:val="24"/>
          <w:lang w:val="en-GB"/>
        </w:rPr>
        <w:t>12</w:t>
      </w:r>
      <w:r w:rsidR="00626485">
        <w:rPr>
          <w:rFonts w:ascii="Times New Roman" w:hAnsi="Times New Roman" w:cs="Times New Roman"/>
          <w:sz w:val="24"/>
          <w:szCs w:val="24"/>
          <w:lang w:val="en-GB"/>
        </w:rPr>
        <w:t xml:space="preserve"> - set through the paragraph settings.</w:t>
      </w:r>
    </w:p>
    <w:p w14:paraId="0A423D04" w14:textId="469336B8" w:rsidR="00E32038" w:rsidRDefault="00E32038" w:rsidP="00BF3BF9">
      <w:pPr>
        <w:spacing w:after="0" w:line="24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layout of the graphics: If you use graphics in the text of the paper – charts, graphs, schemas or pictures – insert the graphics directly to the text of the paper. Please ensure yourself that the graphics used are readable, sharp and have explanatory power. Number and the name of the graphics insert above the inserted graphics – use bold style of the font volume 12 with left alignment without any indentation. </w:t>
      </w:r>
      <w:r w:rsidR="006F3D5F">
        <w:rPr>
          <w:rFonts w:ascii="Times New Roman" w:hAnsi="Times New Roman" w:cs="Times New Roman"/>
          <w:sz w:val="24"/>
          <w:szCs w:val="24"/>
          <w:lang w:val="en-GB"/>
        </w:rPr>
        <w:t>For the s</w:t>
      </w:r>
      <w:r>
        <w:rPr>
          <w:rFonts w:ascii="Times New Roman" w:hAnsi="Times New Roman" w:cs="Times New Roman"/>
          <w:sz w:val="24"/>
          <w:szCs w:val="24"/>
          <w:lang w:val="en-GB"/>
        </w:rPr>
        <w:t xml:space="preserve">ource </w:t>
      </w:r>
      <w:r w:rsidR="006F3D5F">
        <w:rPr>
          <w:rFonts w:ascii="Times New Roman" w:hAnsi="Times New Roman" w:cs="Times New Roman"/>
          <w:sz w:val="24"/>
          <w:szCs w:val="24"/>
          <w:lang w:val="en-GB"/>
        </w:rPr>
        <w:t>of</w:t>
      </w:r>
      <w:r>
        <w:rPr>
          <w:rFonts w:ascii="Times New Roman" w:hAnsi="Times New Roman" w:cs="Times New Roman"/>
          <w:sz w:val="24"/>
          <w:szCs w:val="24"/>
          <w:lang w:val="en-GB"/>
        </w:rPr>
        <w:t xml:space="preserve"> the </w:t>
      </w:r>
      <w:r w:rsidR="006F3D5F">
        <w:rPr>
          <w:rFonts w:ascii="Times New Roman" w:hAnsi="Times New Roman" w:cs="Times New Roman"/>
          <w:sz w:val="24"/>
          <w:szCs w:val="24"/>
          <w:lang w:val="en-GB"/>
        </w:rPr>
        <w:t xml:space="preserve">creation of graphics insert under the graphics and use italics volume 12 with left alignment without any indentation. (Note: It is recommended prepare graphics in separate suitable program and if possible insert graphics to the text of the paper in the form of picture in case of inserting the graphics to the text of the paper. This procedure should prevent possible deformations during following processing of the submitted paper which could cause uncertainties and non-readability of the graphics. </w:t>
      </w:r>
    </w:p>
    <w:p w14:paraId="0DFC3CF2" w14:textId="6AFDC260"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t>Graph</w:t>
      </w:r>
      <w:r w:rsidR="006F3D5F" w:rsidRPr="00956339">
        <w:rPr>
          <w:rFonts w:ascii="Times New Roman" w:hAnsi="Times New Roman" w:cs="Times New Roman"/>
          <w:b/>
          <w:sz w:val="24"/>
          <w:szCs w:val="24"/>
          <w:lang w:val="en-GB"/>
        </w:rPr>
        <w:t xml:space="preserve"> 1: </w:t>
      </w:r>
      <w:r>
        <w:rPr>
          <w:rFonts w:ascii="Times New Roman" w:hAnsi="Times New Roman" w:cs="Times New Roman"/>
          <w:b/>
          <w:sz w:val="24"/>
          <w:szCs w:val="24"/>
          <w:lang w:val="en-GB"/>
        </w:rPr>
        <w:t>Example for the graph</w:t>
      </w:r>
    </w:p>
    <w:p w14:paraId="20BAD59A" w14:textId="439913BB" w:rsidR="006F3D5F" w:rsidRDefault="006F3D5F" w:rsidP="006F3D5F">
      <w:pPr>
        <w:spacing w:after="0" w:line="240" w:lineRule="auto"/>
        <w:rPr>
          <w:rFonts w:ascii="Times New Roman" w:hAnsi="Times New Roman" w:cs="Times New Roman"/>
          <w:sz w:val="24"/>
          <w:szCs w:val="24"/>
        </w:rPr>
      </w:pPr>
      <w:r>
        <w:rPr>
          <w:noProof/>
          <w:lang w:eastAsia="cs-CZ"/>
        </w:rPr>
        <w:drawing>
          <wp:inline distT="0" distB="0" distL="0" distR="0" wp14:anchorId="4CCB0BD5" wp14:editId="1892677E">
            <wp:extent cx="5400675" cy="18192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819275"/>
                    </a:xfrm>
                    <a:prstGeom prst="rect">
                      <a:avLst/>
                    </a:prstGeom>
                    <a:noFill/>
                    <a:ln>
                      <a:noFill/>
                    </a:ln>
                  </pic:spPr>
                </pic:pic>
              </a:graphicData>
            </a:graphic>
          </wp:inline>
        </w:drawing>
      </w:r>
    </w:p>
    <w:p w14:paraId="3AA12593" w14:textId="70C1D5EE"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Eurostat, </w:t>
      </w:r>
      <w:r w:rsidRPr="00956339">
        <w:rPr>
          <w:rFonts w:ascii="Times New Roman" w:hAnsi="Times New Roman" w:cs="Times New Roman"/>
          <w:i/>
          <w:sz w:val="24"/>
          <w:szCs w:val="24"/>
          <w:lang w:val="en-GB"/>
        </w:rPr>
        <w:t>own processing</w:t>
      </w:r>
    </w:p>
    <w:p w14:paraId="532B4DD2" w14:textId="77777777" w:rsidR="006F3D5F" w:rsidRPr="00956339" w:rsidRDefault="006F3D5F" w:rsidP="006F3D5F">
      <w:pPr>
        <w:spacing w:after="0" w:line="240" w:lineRule="auto"/>
        <w:jc w:val="both"/>
        <w:rPr>
          <w:rFonts w:ascii="Times New Roman" w:hAnsi="Times New Roman" w:cs="Times New Roman"/>
          <w:sz w:val="24"/>
          <w:szCs w:val="24"/>
          <w:lang w:val="en-GB"/>
        </w:rPr>
      </w:pPr>
    </w:p>
    <w:p w14:paraId="3F554DD3" w14:textId="5B38E115"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t>Table</w:t>
      </w:r>
      <w:r w:rsidR="006F3D5F" w:rsidRPr="00956339">
        <w:rPr>
          <w:rFonts w:ascii="Times New Roman" w:hAnsi="Times New Roman" w:cs="Times New Roman"/>
          <w:b/>
          <w:sz w:val="24"/>
          <w:szCs w:val="24"/>
          <w:lang w:val="en-GB"/>
        </w:rPr>
        <w:t xml:space="preserve"> 1: </w:t>
      </w:r>
      <w:r w:rsidRPr="00956339">
        <w:rPr>
          <w:rFonts w:ascii="Times New Roman" w:hAnsi="Times New Roman" w:cs="Times New Roman"/>
          <w:b/>
          <w:sz w:val="24"/>
          <w:szCs w:val="24"/>
          <w:lang w:val="en-GB"/>
        </w:rPr>
        <w:t>Example for the table</w:t>
      </w:r>
    </w:p>
    <w:tbl>
      <w:tblPr>
        <w:tblW w:w="7634" w:type="dxa"/>
        <w:tblCellMar>
          <w:left w:w="70" w:type="dxa"/>
          <w:right w:w="70" w:type="dxa"/>
        </w:tblCellMar>
        <w:tblLook w:val="04A0" w:firstRow="1" w:lastRow="0" w:firstColumn="1" w:lastColumn="0" w:noHBand="0" w:noVBand="1"/>
      </w:tblPr>
      <w:tblGrid>
        <w:gridCol w:w="3984"/>
        <w:gridCol w:w="1664"/>
        <w:gridCol w:w="1986"/>
      </w:tblGrid>
      <w:tr w:rsidR="006F3D5F" w14:paraId="216F34ED" w14:textId="77777777" w:rsidTr="006F3D5F">
        <w:trPr>
          <w:trHeight w:val="315"/>
        </w:trPr>
        <w:tc>
          <w:tcPr>
            <w:tcW w:w="3984" w:type="dxa"/>
            <w:tcBorders>
              <w:top w:val="single" w:sz="4" w:space="0" w:color="auto"/>
              <w:left w:val="nil"/>
              <w:bottom w:val="double" w:sz="6" w:space="0" w:color="auto"/>
              <w:right w:val="nil"/>
            </w:tcBorders>
            <w:noWrap/>
            <w:vAlign w:val="bottom"/>
            <w:hideMark/>
          </w:tcPr>
          <w:p w14:paraId="46977E01" w14:textId="77777777" w:rsidR="006F3D5F" w:rsidRDefault="006F3D5F">
            <w:pPr>
              <w:keepNext/>
              <w:keepLines/>
              <w:spacing w:line="240" w:lineRule="auto"/>
              <w:jc w:val="center"/>
              <w:rPr>
                <w:rFonts w:cstheme="minorHAnsi"/>
                <w:b/>
                <w:bCs/>
                <w:color w:val="000000"/>
                <w:sz w:val="20"/>
              </w:rPr>
            </w:pPr>
            <w:r>
              <w:rPr>
                <w:rFonts w:cstheme="minorHAnsi"/>
                <w:b/>
                <w:bCs/>
                <w:color w:val="000000"/>
                <w:sz w:val="20"/>
              </w:rPr>
              <w:t>Typ ukazovatele</w:t>
            </w:r>
          </w:p>
        </w:tc>
        <w:tc>
          <w:tcPr>
            <w:tcW w:w="1664" w:type="dxa"/>
            <w:tcBorders>
              <w:top w:val="single" w:sz="4" w:space="0" w:color="auto"/>
              <w:left w:val="nil"/>
              <w:bottom w:val="double" w:sz="6" w:space="0" w:color="auto"/>
              <w:right w:val="nil"/>
            </w:tcBorders>
            <w:noWrap/>
            <w:vAlign w:val="bottom"/>
            <w:hideMark/>
          </w:tcPr>
          <w:p w14:paraId="3CC9CAD9" w14:textId="77777777" w:rsidR="006F3D5F" w:rsidRDefault="006F3D5F">
            <w:pPr>
              <w:keepNext/>
              <w:keepLines/>
              <w:spacing w:line="240" w:lineRule="auto"/>
              <w:jc w:val="center"/>
              <w:rPr>
                <w:rFonts w:cstheme="minorHAnsi"/>
                <w:b/>
                <w:bCs/>
                <w:color w:val="000000"/>
                <w:sz w:val="20"/>
              </w:rPr>
            </w:pPr>
            <w:r>
              <w:rPr>
                <w:rFonts w:cstheme="minorHAnsi"/>
                <w:b/>
                <w:bCs/>
                <w:color w:val="000000"/>
                <w:sz w:val="20"/>
              </w:rPr>
              <w:t xml:space="preserve">Výskyt </w:t>
            </w:r>
            <w:proofErr w:type="spellStart"/>
            <w:r>
              <w:rPr>
                <w:rFonts w:cstheme="minorHAnsi"/>
                <w:b/>
                <w:bCs/>
                <w:color w:val="000000"/>
                <w:sz w:val="20"/>
              </w:rPr>
              <w:t>použitia</w:t>
            </w:r>
            <w:proofErr w:type="spellEnd"/>
          </w:p>
        </w:tc>
        <w:tc>
          <w:tcPr>
            <w:tcW w:w="1986" w:type="dxa"/>
            <w:tcBorders>
              <w:top w:val="single" w:sz="4" w:space="0" w:color="auto"/>
              <w:left w:val="nil"/>
              <w:bottom w:val="double" w:sz="6" w:space="0" w:color="auto"/>
              <w:right w:val="nil"/>
            </w:tcBorders>
            <w:noWrap/>
            <w:vAlign w:val="bottom"/>
            <w:hideMark/>
          </w:tcPr>
          <w:p w14:paraId="2477C28C" w14:textId="77777777" w:rsidR="006F3D5F" w:rsidRDefault="006F3D5F">
            <w:pPr>
              <w:keepNext/>
              <w:keepLines/>
              <w:spacing w:line="240" w:lineRule="auto"/>
              <w:jc w:val="center"/>
              <w:rPr>
                <w:rFonts w:cstheme="minorHAnsi"/>
                <w:b/>
                <w:bCs/>
                <w:color w:val="000000"/>
                <w:sz w:val="20"/>
              </w:rPr>
            </w:pPr>
            <w:r>
              <w:rPr>
                <w:rFonts w:cstheme="minorHAnsi"/>
                <w:b/>
                <w:bCs/>
                <w:color w:val="000000"/>
                <w:sz w:val="20"/>
              </w:rPr>
              <w:t>Typ výkonnosti</w:t>
            </w:r>
          </w:p>
        </w:tc>
      </w:tr>
      <w:tr w:rsidR="006F3D5F" w14:paraId="449C2CE6" w14:textId="77777777" w:rsidTr="006F3D5F">
        <w:trPr>
          <w:trHeight w:val="315"/>
        </w:trPr>
        <w:tc>
          <w:tcPr>
            <w:tcW w:w="3984" w:type="dxa"/>
            <w:noWrap/>
            <w:vAlign w:val="bottom"/>
            <w:hideMark/>
          </w:tcPr>
          <w:p w14:paraId="424E2730" w14:textId="77777777" w:rsidR="006F3D5F" w:rsidRDefault="006F3D5F">
            <w:pPr>
              <w:keepNext/>
              <w:keepLines/>
              <w:spacing w:line="240" w:lineRule="auto"/>
              <w:jc w:val="center"/>
              <w:rPr>
                <w:rFonts w:cstheme="minorHAnsi"/>
                <w:color w:val="000000"/>
                <w:sz w:val="20"/>
              </w:rPr>
            </w:pPr>
            <w:r>
              <w:rPr>
                <w:rFonts w:cstheme="minorHAnsi"/>
                <w:color w:val="000000"/>
                <w:sz w:val="20"/>
              </w:rPr>
              <w:t>ukazovatele založené na tržbách</w:t>
            </w:r>
          </w:p>
        </w:tc>
        <w:tc>
          <w:tcPr>
            <w:tcW w:w="1664" w:type="dxa"/>
            <w:noWrap/>
            <w:vAlign w:val="bottom"/>
            <w:hideMark/>
          </w:tcPr>
          <w:p w14:paraId="4B423407" w14:textId="77777777" w:rsidR="006F3D5F" w:rsidRDefault="006F3D5F">
            <w:pPr>
              <w:keepNext/>
              <w:keepLines/>
              <w:spacing w:line="240" w:lineRule="auto"/>
              <w:jc w:val="center"/>
              <w:rPr>
                <w:rFonts w:cstheme="minorHAnsi"/>
                <w:color w:val="000000"/>
                <w:sz w:val="20"/>
              </w:rPr>
            </w:pPr>
            <w:r>
              <w:rPr>
                <w:rFonts w:cstheme="minorHAnsi"/>
                <w:color w:val="000000"/>
                <w:sz w:val="20"/>
              </w:rPr>
              <w:t>52 %</w:t>
            </w:r>
          </w:p>
        </w:tc>
        <w:tc>
          <w:tcPr>
            <w:tcW w:w="1986" w:type="dxa"/>
            <w:vMerge w:val="restart"/>
            <w:tcBorders>
              <w:top w:val="nil"/>
              <w:left w:val="nil"/>
              <w:bottom w:val="single" w:sz="4" w:space="0" w:color="000000"/>
              <w:right w:val="nil"/>
            </w:tcBorders>
            <w:noWrap/>
            <w:vAlign w:val="center"/>
            <w:hideMark/>
          </w:tcPr>
          <w:p w14:paraId="45D2D758" w14:textId="77777777" w:rsidR="006F3D5F" w:rsidRDefault="006F3D5F">
            <w:pPr>
              <w:keepNext/>
              <w:keepLines/>
              <w:spacing w:line="240" w:lineRule="auto"/>
              <w:rPr>
                <w:rFonts w:cstheme="minorHAnsi"/>
                <w:color w:val="000000"/>
                <w:sz w:val="20"/>
              </w:rPr>
            </w:pPr>
            <w:proofErr w:type="spellStart"/>
            <w:r>
              <w:rPr>
                <w:rFonts w:cstheme="minorHAnsi"/>
                <w:color w:val="000000"/>
                <w:sz w:val="20"/>
              </w:rPr>
              <w:t>Finančná</w:t>
            </w:r>
            <w:proofErr w:type="spellEnd"/>
            <w:r>
              <w:rPr>
                <w:rFonts w:cstheme="minorHAnsi"/>
                <w:color w:val="000000"/>
                <w:sz w:val="20"/>
              </w:rPr>
              <w:t xml:space="preserve"> </w:t>
            </w:r>
            <w:proofErr w:type="spellStart"/>
            <w:r>
              <w:rPr>
                <w:rFonts w:cstheme="minorHAnsi"/>
                <w:color w:val="000000"/>
                <w:sz w:val="20"/>
              </w:rPr>
              <w:t>výkonnosť</w:t>
            </w:r>
            <w:proofErr w:type="spellEnd"/>
          </w:p>
        </w:tc>
      </w:tr>
      <w:tr w:rsidR="006F3D5F" w14:paraId="2BD8808D" w14:textId="77777777" w:rsidTr="006F3D5F">
        <w:trPr>
          <w:trHeight w:val="300"/>
        </w:trPr>
        <w:tc>
          <w:tcPr>
            <w:tcW w:w="3984" w:type="dxa"/>
            <w:noWrap/>
            <w:vAlign w:val="bottom"/>
            <w:hideMark/>
          </w:tcPr>
          <w:p w14:paraId="36735CE8" w14:textId="77777777" w:rsidR="006F3D5F" w:rsidRDefault="006F3D5F">
            <w:pPr>
              <w:keepNext/>
              <w:keepLines/>
              <w:spacing w:line="240" w:lineRule="auto"/>
              <w:jc w:val="center"/>
              <w:rPr>
                <w:rFonts w:cstheme="minorHAnsi"/>
                <w:color w:val="000000"/>
                <w:sz w:val="20"/>
              </w:rPr>
            </w:pPr>
            <w:r>
              <w:rPr>
                <w:rFonts w:cstheme="minorHAnsi"/>
                <w:color w:val="000000"/>
                <w:sz w:val="20"/>
              </w:rPr>
              <w:t xml:space="preserve">rentabilita </w:t>
            </w:r>
            <w:proofErr w:type="spellStart"/>
            <w:r>
              <w:rPr>
                <w:rFonts w:cstheme="minorHAnsi"/>
                <w:color w:val="000000"/>
                <w:sz w:val="20"/>
              </w:rPr>
              <w:t>aktív</w:t>
            </w:r>
            <w:proofErr w:type="spellEnd"/>
            <w:r>
              <w:rPr>
                <w:rFonts w:cstheme="minorHAnsi"/>
                <w:color w:val="000000"/>
                <w:sz w:val="20"/>
              </w:rPr>
              <w:t xml:space="preserve"> (ROA)</w:t>
            </w:r>
          </w:p>
        </w:tc>
        <w:tc>
          <w:tcPr>
            <w:tcW w:w="1664" w:type="dxa"/>
            <w:noWrap/>
            <w:vAlign w:val="bottom"/>
            <w:hideMark/>
          </w:tcPr>
          <w:p w14:paraId="02BFF299" w14:textId="77777777" w:rsidR="006F3D5F" w:rsidRDefault="006F3D5F">
            <w:pPr>
              <w:keepNext/>
              <w:keepLines/>
              <w:spacing w:line="240" w:lineRule="auto"/>
              <w:jc w:val="center"/>
              <w:rPr>
                <w:rFonts w:cstheme="minorHAnsi"/>
                <w:color w:val="000000"/>
                <w:sz w:val="20"/>
              </w:rPr>
            </w:pPr>
            <w:r>
              <w:rPr>
                <w:rFonts w:cstheme="minorHAnsi"/>
                <w:color w:val="000000"/>
                <w:sz w:val="20"/>
              </w:rPr>
              <w:t>29 %</w:t>
            </w:r>
          </w:p>
        </w:tc>
        <w:tc>
          <w:tcPr>
            <w:tcW w:w="0" w:type="auto"/>
            <w:vMerge/>
            <w:tcBorders>
              <w:top w:val="nil"/>
              <w:left w:val="nil"/>
              <w:bottom w:val="single" w:sz="4" w:space="0" w:color="000000"/>
              <w:right w:val="nil"/>
            </w:tcBorders>
            <w:vAlign w:val="center"/>
            <w:hideMark/>
          </w:tcPr>
          <w:p w14:paraId="18CA818B" w14:textId="77777777" w:rsidR="006F3D5F" w:rsidRDefault="006F3D5F">
            <w:pPr>
              <w:spacing w:after="0"/>
              <w:rPr>
                <w:rFonts w:cstheme="minorHAnsi"/>
                <w:color w:val="000000"/>
                <w:sz w:val="20"/>
              </w:rPr>
            </w:pPr>
          </w:p>
        </w:tc>
      </w:tr>
      <w:tr w:rsidR="006F3D5F" w14:paraId="6BF8B305" w14:textId="77777777" w:rsidTr="006F3D5F">
        <w:trPr>
          <w:trHeight w:val="300"/>
        </w:trPr>
        <w:tc>
          <w:tcPr>
            <w:tcW w:w="3984" w:type="dxa"/>
            <w:tcBorders>
              <w:top w:val="nil"/>
              <w:left w:val="nil"/>
              <w:bottom w:val="single" w:sz="4" w:space="0" w:color="auto"/>
              <w:right w:val="nil"/>
            </w:tcBorders>
            <w:noWrap/>
            <w:vAlign w:val="bottom"/>
            <w:hideMark/>
          </w:tcPr>
          <w:p w14:paraId="2BC85D8B" w14:textId="77777777" w:rsidR="006F3D5F" w:rsidRDefault="006F3D5F">
            <w:pPr>
              <w:keepNext/>
              <w:keepLines/>
              <w:spacing w:line="240" w:lineRule="auto"/>
              <w:jc w:val="center"/>
              <w:rPr>
                <w:rFonts w:cstheme="minorHAnsi"/>
                <w:color w:val="000000"/>
                <w:sz w:val="20"/>
              </w:rPr>
            </w:pPr>
            <w:proofErr w:type="spellStart"/>
            <w:r>
              <w:rPr>
                <w:rFonts w:cstheme="minorHAnsi"/>
                <w:color w:val="000000"/>
                <w:sz w:val="20"/>
              </w:rPr>
              <w:t>ziskovosť</w:t>
            </w:r>
            <w:proofErr w:type="spellEnd"/>
            <w:r>
              <w:rPr>
                <w:rFonts w:cstheme="minorHAnsi"/>
                <w:color w:val="000000"/>
                <w:sz w:val="20"/>
              </w:rPr>
              <w:t xml:space="preserve"> (</w:t>
            </w:r>
            <w:proofErr w:type="spellStart"/>
            <w:r>
              <w:rPr>
                <w:rFonts w:cstheme="minorHAnsi"/>
                <w:color w:val="000000"/>
                <w:sz w:val="20"/>
              </w:rPr>
              <w:t>iná</w:t>
            </w:r>
            <w:proofErr w:type="spellEnd"/>
            <w:r>
              <w:rPr>
                <w:rFonts w:cstheme="minorHAnsi"/>
                <w:color w:val="000000"/>
                <w:sz w:val="20"/>
              </w:rPr>
              <w:t xml:space="preserve"> než ROA)</w:t>
            </w:r>
          </w:p>
        </w:tc>
        <w:tc>
          <w:tcPr>
            <w:tcW w:w="1664" w:type="dxa"/>
            <w:tcBorders>
              <w:top w:val="nil"/>
              <w:left w:val="nil"/>
              <w:bottom w:val="single" w:sz="4" w:space="0" w:color="auto"/>
              <w:right w:val="nil"/>
            </w:tcBorders>
            <w:noWrap/>
            <w:vAlign w:val="bottom"/>
            <w:hideMark/>
          </w:tcPr>
          <w:p w14:paraId="40B95970" w14:textId="77777777" w:rsidR="006F3D5F" w:rsidRDefault="006F3D5F">
            <w:pPr>
              <w:keepNext/>
              <w:keepLines/>
              <w:spacing w:line="240" w:lineRule="auto"/>
              <w:jc w:val="center"/>
              <w:rPr>
                <w:rFonts w:cstheme="minorHAnsi"/>
                <w:color w:val="000000"/>
                <w:sz w:val="20"/>
              </w:rPr>
            </w:pPr>
            <w:r>
              <w:rPr>
                <w:rFonts w:cstheme="minorHAnsi"/>
                <w:color w:val="000000"/>
                <w:sz w:val="20"/>
              </w:rPr>
              <w:t>26 %</w:t>
            </w:r>
          </w:p>
        </w:tc>
        <w:tc>
          <w:tcPr>
            <w:tcW w:w="0" w:type="auto"/>
            <w:vMerge/>
            <w:tcBorders>
              <w:top w:val="nil"/>
              <w:left w:val="nil"/>
              <w:bottom w:val="single" w:sz="4" w:space="0" w:color="000000"/>
              <w:right w:val="nil"/>
            </w:tcBorders>
            <w:vAlign w:val="center"/>
            <w:hideMark/>
          </w:tcPr>
          <w:p w14:paraId="21A90384" w14:textId="77777777" w:rsidR="006F3D5F" w:rsidRDefault="006F3D5F">
            <w:pPr>
              <w:spacing w:after="0"/>
              <w:rPr>
                <w:rFonts w:cstheme="minorHAnsi"/>
                <w:color w:val="000000"/>
                <w:sz w:val="20"/>
              </w:rPr>
            </w:pPr>
          </w:p>
        </w:tc>
      </w:tr>
      <w:tr w:rsidR="006F3D5F" w14:paraId="4F827BE8" w14:textId="77777777" w:rsidTr="006F3D5F">
        <w:trPr>
          <w:trHeight w:val="300"/>
        </w:trPr>
        <w:tc>
          <w:tcPr>
            <w:tcW w:w="3984" w:type="dxa"/>
            <w:noWrap/>
            <w:vAlign w:val="bottom"/>
            <w:hideMark/>
          </w:tcPr>
          <w:p w14:paraId="3EF8BF60" w14:textId="77777777" w:rsidR="006F3D5F" w:rsidRDefault="006F3D5F">
            <w:pPr>
              <w:keepNext/>
              <w:keepLines/>
              <w:spacing w:line="240" w:lineRule="auto"/>
              <w:jc w:val="center"/>
              <w:rPr>
                <w:rFonts w:cstheme="minorHAnsi"/>
                <w:color w:val="000000"/>
                <w:sz w:val="20"/>
              </w:rPr>
            </w:pPr>
            <w:r>
              <w:rPr>
                <w:rFonts w:cstheme="minorHAnsi"/>
                <w:color w:val="000000"/>
                <w:sz w:val="20"/>
              </w:rPr>
              <w:t xml:space="preserve">tržní </w:t>
            </w:r>
            <w:proofErr w:type="spellStart"/>
            <w:r>
              <w:rPr>
                <w:rFonts w:cstheme="minorHAnsi"/>
                <w:color w:val="000000"/>
                <w:sz w:val="20"/>
              </w:rPr>
              <w:t>podiel</w:t>
            </w:r>
            <w:proofErr w:type="spellEnd"/>
          </w:p>
        </w:tc>
        <w:tc>
          <w:tcPr>
            <w:tcW w:w="1664" w:type="dxa"/>
            <w:noWrap/>
            <w:vAlign w:val="bottom"/>
            <w:hideMark/>
          </w:tcPr>
          <w:p w14:paraId="67D2A9C1" w14:textId="77777777" w:rsidR="006F3D5F" w:rsidRDefault="006F3D5F">
            <w:pPr>
              <w:keepNext/>
              <w:keepLines/>
              <w:spacing w:line="240" w:lineRule="auto"/>
              <w:jc w:val="center"/>
              <w:rPr>
                <w:rFonts w:cstheme="minorHAnsi"/>
                <w:color w:val="000000"/>
                <w:sz w:val="20"/>
              </w:rPr>
            </w:pPr>
            <w:r>
              <w:rPr>
                <w:rFonts w:cstheme="minorHAnsi"/>
                <w:color w:val="000000"/>
                <w:sz w:val="20"/>
              </w:rPr>
              <w:t>44 %</w:t>
            </w:r>
          </w:p>
        </w:tc>
        <w:tc>
          <w:tcPr>
            <w:tcW w:w="1986" w:type="dxa"/>
            <w:vMerge w:val="restart"/>
            <w:tcBorders>
              <w:top w:val="nil"/>
              <w:left w:val="nil"/>
              <w:bottom w:val="single" w:sz="4" w:space="0" w:color="000000"/>
              <w:right w:val="nil"/>
            </w:tcBorders>
            <w:noWrap/>
            <w:vAlign w:val="center"/>
            <w:hideMark/>
          </w:tcPr>
          <w:p w14:paraId="17C72FD3" w14:textId="77777777" w:rsidR="006F3D5F" w:rsidRDefault="006F3D5F">
            <w:pPr>
              <w:keepNext/>
              <w:keepLines/>
              <w:spacing w:line="240" w:lineRule="auto"/>
              <w:rPr>
                <w:rFonts w:cstheme="minorHAnsi"/>
                <w:color w:val="000000"/>
                <w:sz w:val="20"/>
              </w:rPr>
            </w:pPr>
            <w:proofErr w:type="spellStart"/>
            <w:r>
              <w:rPr>
                <w:rFonts w:cstheme="minorHAnsi"/>
                <w:color w:val="000000"/>
                <w:sz w:val="20"/>
              </w:rPr>
              <w:t>Prevádzková</w:t>
            </w:r>
            <w:proofErr w:type="spellEnd"/>
            <w:r>
              <w:rPr>
                <w:rFonts w:cstheme="minorHAnsi"/>
                <w:color w:val="000000"/>
                <w:sz w:val="20"/>
              </w:rPr>
              <w:t xml:space="preserve"> </w:t>
            </w:r>
            <w:proofErr w:type="spellStart"/>
            <w:r>
              <w:rPr>
                <w:rFonts w:cstheme="minorHAnsi"/>
                <w:color w:val="000000"/>
                <w:sz w:val="20"/>
              </w:rPr>
              <w:t>výkonnosť</w:t>
            </w:r>
            <w:proofErr w:type="spellEnd"/>
          </w:p>
        </w:tc>
      </w:tr>
      <w:tr w:rsidR="006F3D5F" w14:paraId="2C18E5D1" w14:textId="77777777" w:rsidTr="006F3D5F">
        <w:trPr>
          <w:trHeight w:val="300"/>
        </w:trPr>
        <w:tc>
          <w:tcPr>
            <w:tcW w:w="3984" w:type="dxa"/>
            <w:tcBorders>
              <w:top w:val="nil"/>
              <w:left w:val="nil"/>
              <w:bottom w:val="single" w:sz="4" w:space="0" w:color="auto"/>
              <w:right w:val="nil"/>
            </w:tcBorders>
            <w:noWrap/>
            <w:vAlign w:val="bottom"/>
            <w:hideMark/>
          </w:tcPr>
          <w:p w14:paraId="5BD84D58" w14:textId="77777777" w:rsidR="006F3D5F" w:rsidRDefault="006F3D5F">
            <w:pPr>
              <w:keepNext/>
              <w:keepLines/>
              <w:spacing w:line="240" w:lineRule="auto"/>
              <w:jc w:val="center"/>
              <w:rPr>
                <w:rFonts w:cstheme="minorHAnsi"/>
                <w:color w:val="000000"/>
                <w:sz w:val="20"/>
              </w:rPr>
            </w:pPr>
            <w:r>
              <w:rPr>
                <w:rFonts w:cstheme="minorHAnsi"/>
                <w:color w:val="000000"/>
                <w:sz w:val="20"/>
              </w:rPr>
              <w:t>produktivita</w:t>
            </w:r>
          </w:p>
        </w:tc>
        <w:tc>
          <w:tcPr>
            <w:tcW w:w="1664" w:type="dxa"/>
            <w:tcBorders>
              <w:top w:val="nil"/>
              <w:left w:val="nil"/>
              <w:bottom w:val="single" w:sz="4" w:space="0" w:color="auto"/>
              <w:right w:val="nil"/>
            </w:tcBorders>
            <w:noWrap/>
            <w:vAlign w:val="bottom"/>
            <w:hideMark/>
          </w:tcPr>
          <w:p w14:paraId="141C0F8C" w14:textId="77777777" w:rsidR="006F3D5F" w:rsidRDefault="006F3D5F">
            <w:pPr>
              <w:keepNext/>
              <w:keepLines/>
              <w:spacing w:line="240" w:lineRule="auto"/>
              <w:jc w:val="center"/>
              <w:rPr>
                <w:rFonts w:cstheme="minorHAnsi"/>
                <w:color w:val="000000"/>
                <w:sz w:val="20"/>
              </w:rPr>
            </w:pPr>
            <w:r>
              <w:rPr>
                <w:rFonts w:cstheme="minorHAnsi"/>
                <w:color w:val="000000"/>
                <w:sz w:val="20"/>
              </w:rPr>
              <w:t>20 %</w:t>
            </w:r>
          </w:p>
        </w:tc>
        <w:tc>
          <w:tcPr>
            <w:tcW w:w="0" w:type="auto"/>
            <w:vMerge/>
            <w:tcBorders>
              <w:top w:val="nil"/>
              <w:left w:val="nil"/>
              <w:bottom w:val="single" w:sz="4" w:space="0" w:color="000000"/>
              <w:right w:val="nil"/>
            </w:tcBorders>
            <w:vAlign w:val="center"/>
            <w:hideMark/>
          </w:tcPr>
          <w:p w14:paraId="138D3AE4" w14:textId="77777777" w:rsidR="006F3D5F" w:rsidRDefault="006F3D5F">
            <w:pPr>
              <w:spacing w:after="0"/>
              <w:rPr>
                <w:rFonts w:cstheme="minorHAnsi"/>
                <w:color w:val="000000"/>
                <w:sz w:val="20"/>
              </w:rPr>
            </w:pPr>
          </w:p>
        </w:tc>
      </w:tr>
      <w:tr w:rsidR="006F3D5F" w14:paraId="0A2A18B9" w14:textId="77777777" w:rsidTr="006F3D5F">
        <w:trPr>
          <w:trHeight w:val="300"/>
        </w:trPr>
        <w:tc>
          <w:tcPr>
            <w:tcW w:w="3984" w:type="dxa"/>
            <w:noWrap/>
            <w:vAlign w:val="bottom"/>
            <w:hideMark/>
          </w:tcPr>
          <w:p w14:paraId="5235441D" w14:textId="77777777" w:rsidR="006F3D5F" w:rsidRDefault="006F3D5F">
            <w:pPr>
              <w:keepNext/>
              <w:keepLines/>
              <w:spacing w:line="240" w:lineRule="auto"/>
              <w:jc w:val="center"/>
              <w:rPr>
                <w:rFonts w:cstheme="minorHAnsi"/>
                <w:color w:val="000000"/>
                <w:sz w:val="20"/>
              </w:rPr>
            </w:pPr>
            <w:proofErr w:type="spellStart"/>
            <w:r>
              <w:rPr>
                <w:rFonts w:cstheme="minorHAnsi"/>
                <w:color w:val="000000"/>
                <w:sz w:val="20"/>
              </w:rPr>
              <w:t>subjektívne</w:t>
            </w:r>
            <w:proofErr w:type="spellEnd"/>
            <w:r>
              <w:rPr>
                <w:rFonts w:cstheme="minorHAnsi"/>
                <w:color w:val="000000"/>
                <w:sz w:val="20"/>
              </w:rPr>
              <w:t xml:space="preserve"> vnímaná celková </w:t>
            </w:r>
            <w:proofErr w:type="spellStart"/>
            <w:r>
              <w:rPr>
                <w:rFonts w:cstheme="minorHAnsi"/>
                <w:color w:val="000000"/>
                <w:sz w:val="20"/>
              </w:rPr>
              <w:t>výkonnosť</w:t>
            </w:r>
            <w:proofErr w:type="spellEnd"/>
          </w:p>
        </w:tc>
        <w:tc>
          <w:tcPr>
            <w:tcW w:w="1664" w:type="dxa"/>
            <w:noWrap/>
            <w:vAlign w:val="bottom"/>
            <w:hideMark/>
          </w:tcPr>
          <w:p w14:paraId="6082E76C" w14:textId="77777777" w:rsidR="006F3D5F" w:rsidRDefault="006F3D5F">
            <w:pPr>
              <w:keepNext/>
              <w:keepLines/>
              <w:spacing w:line="240" w:lineRule="auto"/>
              <w:jc w:val="center"/>
              <w:rPr>
                <w:rFonts w:cstheme="minorHAnsi"/>
                <w:color w:val="000000"/>
                <w:sz w:val="20"/>
              </w:rPr>
            </w:pPr>
            <w:r>
              <w:rPr>
                <w:rFonts w:cstheme="minorHAnsi"/>
                <w:color w:val="000000"/>
                <w:sz w:val="20"/>
              </w:rPr>
              <w:t>47 %</w:t>
            </w:r>
          </w:p>
        </w:tc>
        <w:tc>
          <w:tcPr>
            <w:tcW w:w="1986" w:type="dxa"/>
            <w:vMerge w:val="restart"/>
            <w:tcBorders>
              <w:top w:val="nil"/>
              <w:left w:val="nil"/>
              <w:bottom w:val="single" w:sz="4" w:space="0" w:color="000000"/>
              <w:right w:val="nil"/>
            </w:tcBorders>
            <w:noWrap/>
            <w:vAlign w:val="center"/>
            <w:hideMark/>
          </w:tcPr>
          <w:p w14:paraId="18F500BD" w14:textId="77777777" w:rsidR="006F3D5F" w:rsidRDefault="006F3D5F">
            <w:pPr>
              <w:keepNext/>
              <w:keepLines/>
              <w:spacing w:line="240" w:lineRule="auto"/>
              <w:rPr>
                <w:rFonts w:cstheme="minorHAnsi"/>
                <w:color w:val="000000"/>
                <w:sz w:val="20"/>
              </w:rPr>
            </w:pPr>
            <w:r>
              <w:rPr>
                <w:rFonts w:cstheme="minorHAnsi"/>
                <w:color w:val="000000"/>
                <w:sz w:val="20"/>
              </w:rPr>
              <w:t xml:space="preserve">Celková </w:t>
            </w:r>
            <w:proofErr w:type="spellStart"/>
            <w:r>
              <w:rPr>
                <w:rFonts w:cstheme="minorHAnsi"/>
                <w:color w:val="000000"/>
                <w:sz w:val="20"/>
              </w:rPr>
              <w:t>výkonnosť</w:t>
            </w:r>
            <w:proofErr w:type="spellEnd"/>
          </w:p>
        </w:tc>
      </w:tr>
      <w:tr w:rsidR="006F3D5F" w14:paraId="5ECC09C8" w14:textId="77777777" w:rsidTr="006F3D5F">
        <w:trPr>
          <w:trHeight w:val="300"/>
        </w:trPr>
        <w:tc>
          <w:tcPr>
            <w:tcW w:w="3984" w:type="dxa"/>
            <w:tcBorders>
              <w:top w:val="nil"/>
              <w:left w:val="nil"/>
              <w:bottom w:val="single" w:sz="4" w:space="0" w:color="auto"/>
              <w:right w:val="nil"/>
            </w:tcBorders>
            <w:noWrap/>
            <w:vAlign w:val="bottom"/>
            <w:hideMark/>
          </w:tcPr>
          <w:p w14:paraId="0C031E51" w14:textId="77777777" w:rsidR="006F3D5F" w:rsidRDefault="006F3D5F">
            <w:pPr>
              <w:keepNext/>
              <w:keepLines/>
              <w:spacing w:line="240" w:lineRule="auto"/>
              <w:jc w:val="center"/>
              <w:rPr>
                <w:rFonts w:cstheme="minorHAnsi"/>
                <w:color w:val="000000"/>
                <w:sz w:val="20"/>
              </w:rPr>
            </w:pPr>
            <w:proofErr w:type="spellStart"/>
            <w:r>
              <w:rPr>
                <w:rFonts w:cstheme="minorHAnsi"/>
                <w:color w:val="000000"/>
                <w:sz w:val="20"/>
              </w:rPr>
              <w:t>výkonnosť</w:t>
            </w:r>
            <w:proofErr w:type="spellEnd"/>
            <w:r>
              <w:rPr>
                <w:rFonts w:cstheme="minorHAnsi"/>
                <w:color w:val="000000"/>
                <w:sz w:val="20"/>
              </w:rPr>
              <w:t xml:space="preserve"> v porovnaní s </w:t>
            </w:r>
            <w:proofErr w:type="spellStart"/>
            <w:r>
              <w:rPr>
                <w:rFonts w:cstheme="minorHAnsi"/>
                <w:color w:val="000000"/>
                <w:sz w:val="20"/>
              </w:rPr>
              <w:t>konkurenciou</w:t>
            </w:r>
            <w:proofErr w:type="spellEnd"/>
          </w:p>
        </w:tc>
        <w:tc>
          <w:tcPr>
            <w:tcW w:w="1664" w:type="dxa"/>
            <w:tcBorders>
              <w:top w:val="nil"/>
              <w:left w:val="nil"/>
              <w:bottom w:val="single" w:sz="4" w:space="0" w:color="auto"/>
              <w:right w:val="nil"/>
            </w:tcBorders>
            <w:noWrap/>
            <w:vAlign w:val="bottom"/>
            <w:hideMark/>
          </w:tcPr>
          <w:p w14:paraId="6EAECA3C" w14:textId="77777777" w:rsidR="006F3D5F" w:rsidRDefault="006F3D5F">
            <w:pPr>
              <w:keepNext/>
              <w:keepLines/>
              <w:spacing w:line="240" w:lineRule="auto"/>
              <w:jc w:val="center"/>
              <w:rPr>
                <w:rFonts w:cstheme="minorHAnsi"/>
                <w:color w:val="000000"/>
                <w:sz w:val="20"/>
              </w:rPr>
            </w:pPr>
            <w:r>
              <w:rPr>
                <w:rFonts w:cstheme="minorHAnsi"/>
                <w:color w:val="000000"/>
                <w:sz w:val="20"/>
              </w:rPr>
              <w:t>20 %</w:t>
            </w:r>
          </w:p>
        </w:tc>
        <w:tc>
          <w:tcPr>
            <w:tcW w:w="0" w:type="auto"/>
            <w:vMerge/>
            <w:tcBorders>
              <w:top w:val="nil"/>
              <w:left w:val="nil"/>
              <w:bottom w:val="single" w:sz="4" w:space="0" w:color="000000"/>
              <w:right w:val="nil"/>
            </w:tcBorders>
            <w:vAlign w:val="center"/>
            <w:hideMark/>
          </w:tcPr>
          <w:p w14:paraId="42916492" w14:textId="77777777" w:rsidR="006F3D5F" w:rsidRDefault="006F3D5F">
            <w:pPr>
              <w:spacing w:after="0"/>
              <w:rPr>
                <w:rFonts w:cstheme="minorHAnsi"/>
                <w:color w:val="000000"/>
                <w:sz w:val="20"/>
              </w:rPr>
            </w:pPr>
          </w:p>
        </w:tc>
      </w:tr>
    </w:tbl>
    <w:p w14:paraId="54A02834" w14:textId="77777777" w:rsidR="006F3D5F" w:rsidRDefault="006F3D5F" w:rsidP="006F3D5F">
      <w:pPr>
        <w:spacing w:after="0" w:line="240" w:lineRule="auto"/>
        <w:jc w:val="both"/>
        <w:rPr>
          <w:rFonts w:ascii="Times New Roman" w:hAnsi="Times New Roman" w:cs="Times New Roman"/>
          <w:sz w:val="24"/>
          <w:szCs w:val="24"/>
        </w:rPr>
      </w:pPr>
    </w:p>
    <w:p w14:paraId="1F3337F9" w14:textId="4147F8AD"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w:t>
      </w:r>
      <w:proofErr w:type="spellStart"/>
      <w:r w:rsidR="006F3D5F" w:rsidRPr="00956339">
        <w:rPr>
          <w:rFonts w:ascii="Times New Roman" w:hAnsi="Times New Roman" w:cs="Times New Roman"/>
          <w:i/>
          <w:sz w:val="24"/>
          <w:szCs w:val="24"/>
          <w:lang w:val="en-GB"/>
        </w:rPr>
        <w:t>Hult</w:t>
      </w:r>
      <w:proofErr w:type="spellEnd"/>
      <w:r w:rsidR="006F3D5F" w:rsidRPr="00956339">
        <w:rPr>
          <w:rFonts w:ascii="Times New Roman" w:hAnsi="Times New Roman" w:cs="Times New Roman"/>
          <w:i/>
          <w:sz w:val="24"/>
          <w:szCs w:val="24"/>
          <w:lang w:val="en-GB"/>
        </w:rPr>
        <w:t xml:space="preserve">, </w:t>
      </w:r>
      <w:r w:rsidRPr="00956339">
        <w:rPr>
          <w:rFonts w:ascii="Times New Roman" w:hAnsi="Times New Roman" w:cs="Times New Roman"/>
          <w:i/>
          <w:sz w:val="24"/>
          <w:szCs w:val="24"/>
          <w:lang w:val="en-GB"/>
        </w:rPr>
        <w:t>own processing</w:t>
      </w:r>
    </w:p>
    <w:p w14:paraId="0AF70036" w14:textId="77777777" w:rsidR="006F3D5F" w:rsidRPr="00956339" w:rsidRDefault="006F3D5F" w:rsidP="006F3D5F">
      <w:pPr>
        <w:spacing w:after="0" w:line="240" w:lineRule="auto"/>
        <w:jc w:val="both"/>
        <w:rPr>
          <w:rFonts w:ascii="Times New Roman" w:hAnsi="Times New Roman" w:cs="Times New Roman"/>
          <w:sz w:val="24"/>
          <w:szCs w:val="24"/>
          <w:lang w:val="en-GB"/>
        </w:rPr>
      </w:pPr>
    </w:p>
    <w:p w14:paraId="40CFC64C" w14:textId="57228593"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lastRenderedPageBreak/>
        <w:t>Scheme</w:t>
      </w:r>
      <w:r w:rsidR="006F3D5F" w:rsidRPr="00956339">
        <w:rPr>
          <w:rFonts w:ascii="Times New Roman" w:hAnsi="Times New Roman" w:cs="Times New Roman"/>
          <w:b/>
          <w:sz w:val="24"/>
          <w:szCs w:val="24"/>
          <w:lang w:val="en-GB"/>
        </w:rPr>
        <w:t xml:space="preserve"> 1: </w:t>
      </w:r>
      <w:r w:rsidRPr="00956339">
        <w:rPr>
          <w:rFonts w:ascii="Times New Roman" w:hAnsi="Times New Roman" w:cs="Times New Roman"/>
          <w:b/>
          <w:sz w:val="24"/>
          <w:szCs w:val="24"/>
          <w:lang w:val="en-GB"/>
        </w:rPr>
        <w:t>Example for the scheme</w:t>
      </w:r>
    </w:p>
    <w:p w14:paraId="7DF731AA" w14:textId="55690BE7" w:rsidR="006F3D5F" w:rsidRDefault="006F3D5F" w:rsidP="006F3D5F">
      <w:pPr>
        <w:spacing w:after="0" w:line="240" w:lineRule="auto"/>
        <w:rPr>
          <w:rFonts w:ascii="Times New Roman" w:hAnsi="Times New Roman" w:cs="Times New Roman"/>
          <w:sz w:val="24"/>
          <w:szCs w:val="24"/>
        </w:rPr>
      </w:pPr>
      <w:r>
        <w:rPr>
          <w:noProof/>
          <w:lang w:eastAsia="cs-CZ"/>
        </w:rPr>
        <w:drawing>
          <wp:inline distT="0" distB="0" distL="0" distR="0" wp14:anchorId="2491D1DB" wp14:editId="00F86C8D">
            <wp:extent cx="5400675" cy="18764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876425"/>
                    </a:xfrm>
                    <a:prstGeom prst="rect">
                      <a:avLst/>
                    </a:prstGeom>
                    <a:noFill/>
                    <a:ln>
                      <a:noFill/>
                    </a:ln>
                  </pic:spPr>
                </pic:pic>
              </a:graphicData>
            </a:graphic>
          </wp:inline>
        </w:drawing>
      </w:r>
    </w:p>
    <w:p w14:paraId="0F3941B8" w14:textId="2593F39A"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w:t>
      </w:r>
      <w:r w:rsidRPr="00956339">
        <w:rPr>
          <w:rFonts w:ascii="Times New Roman" w:hAnsi="Times New Roman" w:cs="Times New Roman"/>
          <w:i/>
          <w:sz w:val="24"/>
          <w:szCs w:val="24"/>
          <w:lang w:val="en-GB"/>
        </w:rPr>
        <w:t>own processing</w:t>
      </w:r>
    </w:p>
    <w:p w14:paraId="229AE62B" w14:textId="77777777" w:rsidR="006F3D5F" w:rsidRPr="00956339" w:rsidRDefault="006F3D5F" w:rsidP="006F3D5F">
      <w:pPr>
        <w:spacing w:after="0" w:line="240" w:lineRule="auto"/>
        <w:jc w:val="both"/>
        <w:rPr>
          <w:rFonts w:ascii="Times New Roman" w:hAnsi="Times New Roman" w:cs="Times New Roman"/>
          <w:sz w:val="24"/>
          <w:szCs w:val="24"/>
          <w:lang w:val="en-GB"/>
        </w:rPr>
      </w:pPr>
    </w:p>
    <w:p w14:paraId="2B7CCD8C" w14:textId="698A9F91" w:rsidR="006F3D5F" w:rsidRPr="00956339" w:rsidRDefault="00956339" w:rsidP="00DE7166">
      <w:pPr>
        <w:keepNext/>
        <w:spacing w:before="120" w:after="120" w:line="240" w:lineRule="auto"/>
        <w:rPr>
          <w:rFonts w:ascii="Times New Roman" w:hAnsi="Times New Roman" w:cs="Times New Roman"/>
          <w:b/>
          <w:sz w:val="24"/>
          <w:szCs w:val="24"/>
          <w:lang w:val="en-GB"/>
        </w:rPr>
      </w:pPr>
      <w:r w:rsidRPr="00956339">
        <w:rPr>
          <w:rFonts w:ascii="Times New Roman" w:hAnsi="Times New Roman" w:cs="Times New Roman"/>
          <w:b/>
          <w:sz w:val="24"/>
          <w:szCs w:val="24"/>
          <w:lang w:val="en-GB"/>
        </w:rPr>
        <w:t>Picture</w:t>
      </w:r>
      <w:r w:rsidR="006F3D5F" w:rsidRPr="00956339">
        <w:rPr>
          <w:rFonts w:ascii="Times New Roman" w:hAnsi="Times New Roman" w:cs="Times New Roman"/>
          <w:b/>
          <w:sz w:val="24"/>
          <w:szCs w:val="24"/>
          <w:lang w:val="en-GB"/>
        </w:rPr>
        <w:t xml:space="preserve"> 1: </w:t>
      </w:r>
      <w:r w:rsidRPr="00956339">
        <w:rPr>
          <w:rFonts w:ascii="Times New Roman" w:hAnsi="Times New Roman" w:cs="Times New Roman"/>
          <w:b/>
          <w:sz w:val="24"/>
          <w:szCs w:val="24"/>
          <w:lang w:val="en-GB"/>
        </w:rPr>
        <w:t>Example for the picture</w:t>
      </w:r>
    </w:p>
    <w:p w14:paraId="6DE64A19" w14:textId="5E5B89FB" w:rsidR="006F3D5F" w:rsidRDefault="006F3D5F" w:rsidP="006F3D5F">
      <w:pPr>
        <w:spacing w:after="0" w:line="240" w:lineRule="auto"/>
        <w:rPr>
          <w:rFonts w:ascii="Times New Roman" w:hAnsi="Times New Roman" w:cs="Times New Roman"/>
          <w:sz w:val="24"/>
          <w:szCs w:val="24"/>
        </w:rPr>
      </w:pPr>
      <w:r>
        <w:rPr>
          <w:noProof/>
          <w:lang w:eastAsia="cs-CZ"/>
        </w:rPr>
        <w:drawing>
          <wp:inline distT="0" distB="0" distL="0" distR="0" wp14:anchorId="092C927B" wp14:editId="72BD2C5B">
            <wp:extent cx="4248150" cy="2228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2228850"/>
                    </a:xfrm>
                    <a:prstGeom prst="rect">
                      <a:avLst/>
                    </a:prstGeom>
                    <a:noFill/>
                    <a:ln>
                      <a:noFill/>
                    </a:ln>
                  </pic:spPr>
                </pic:pic>
              </a:graphicData>
            </a:graphic>
          </wp:inline>
        </w:drawing>
      </w:r>
    </w:p>
    <w:p w14:paraId="36B5A3E8" w14:textId="36D3584B" w:rsidR="006F3D5F" w:rsidRPr="00956339" w:rsidRDefault="00956339" w:rsidP="006F3D5F">
      <w:pPr>
        <w:spacing w:after="0" w:line="240" w:lineRule="auto"/>
        <w:jc w:val="both"/>
        <w:rPr>
          <w:rFonts w:ascii="Times New Roman" w:hAnsi="Times New Roman" w:cs="Times New Roman"/>
          <w:i/>
          <w:sz w:val="24"/>
          <w:szCs w:val="24"/>
          <w:lang w:val="en-GB"/>
        </w:rPr>
      </w:pPr>
      <w:r w:rsidRPr="00956339">
        <w:rPr>
          <w:rFonts w:ascii="Times New Roman" w:hAnsi="Times New Roman" w:cs="Times New Roman"/>
          <w:i/>
          <w:sz w:val="24"/>
          <w:szCs w:val="24"/>
          <w:lang w:val="en-GB"/>
        </w:rPr>
        <w:t>Source</w:t>
      </w:r>
      <w:r w:rsidR="006F3D5F" w:rsidRPr="00956339">
        <w:rPr>
          <w:rFonts w:ascii="Times New Roman" w:hAnsi="Times New Roman" w:cs="Times New Roman"/>
          <w:i/>
          <w:sz w:val="24"/>
          <w:szCs w:val="24"/>
          <w:lang w:val="en-GB"/>
        </w:rPr>
        <w:t xml:space="preserve">: Eurostat, </w:t>
      </w:r>
      <w:r w:rsidRPr="00956339">
        <w:rPr>
          <w:rFonts w:ascii="Times New Roman" w:hAnsi="Times New Roman" w:cs="Times New Roman"/>
          <w:i/>
          <w:sz w:val="24"/>
          <w:szCs w:val="24"/>
          <w:lang w:val="en-GB"/>
        </w:rPr>
        <w:t>own processing</w:t>
      </w:r>
    </w:p>
    <w:p w14:paraId="642A77BA" w14:textId="46D4E34D" w:rsidR="00956339" w:rsidRPr="005D5E57" w:rsidRDefault="00956339" w:rsidP="00DE7166">
      <w:pPr>
        <w:keepNext/>
        <w:spacing w:before="360" w:after="24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14:paraId="2F2EF4C5" w14:textId="5702BDF2" w:rsidR="00BF3BF9" w:rsidRPr="005D5E57" w:rsidRDefault="000B529C" w:rsidP="0095633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quoting please use the APA standard. Links to the sources used in the text of the paper insert directly to the text in the form of author´s name and the year of publication (e</w:t>
      </w:r>
      <w:r w:rsidR="00D31E0C">
        <w:rPr>
          <w:rFonts w:ascii="Times New Roman" w:hAnsi="Times New Roman" w:cs="Times New Roman"/>
          <w:sz w:val="24"/>
          <w:szCs w:val="24"/>
          <w:lang w:val="en-GB"/>
        </w:rPr>
        <w:t>.</w:t>
      </w:r>
      <w:r>
        <w:rPr>
          <w:rFonts w:ascii="Times New Roman" w:hAnsi="Times New Roman" w:cs="Times New Roman"/>
          <w:sz w:val="24"/>
          <w:szCs w:val="24"/>
          <w:lang w:val="en-GB"/>
        </w:rPr>
        <w:t xml:space="preserve">g. Marinič, 2015). Links to the specific pages of the source </w:t>
      </w:r>
      <w:r w:rsidR="00D31E0C">
        <w:rPr>
          <w:rFonts w:ascii="Times New Roman" w:hAnsi="Times New Roman" w:cs="Times New Roman"/>
          <w:sz w:val="24"/>
          <w:szCs w:val="24"/>
          <w:lang w:val="en-GB"/>
        </w:rPr>
        <w:t xml:space="preserve">insert in the form of author´s name, the year of publication, pages (e.g. Marinič, 2015, pp. 10-15). For separation of more sources use semi comas. More sources should be sort alphabetically according to author´s name or in ascending or descending order according to year of publication. In the case of multiple sources of one author in the same year of publication distinguish them by using small letters of alphabet (e.g. Marinič, 2015a; Marinič, 2015b). Complete list of sources used in the paper insert to the references. Do not numbering the list. References insert in order according to author´s name alphabetically, in the case of multiple references of same author order them according to year of publication, </w:t>
      </w:r>
      <w:r w:rsidR="00AE4748">
        <w:rPr>
          <w:rFonts w:ascii="Times New Roman" w:hAnsi="Times New Roman" w:cs="Times New Roman"/>
          <w:sz w:val="24"/>
          <w:szCs w:val="24"/>
          <w:lang w:val="en-GB"/>
        </w:rPr>
        <w:t>and in the case of the multiple references of the same author in the same year of publication order them according to the name of work. Use font volume 12 with left alignment and 0.5 cm indentation with the first line without indentation.</w:t>
      </w:r>
      <w:r w:rsidR="00D31E0C">
        <w:rPr>
          <w:rFonts w:ascii="Times New Roman" w:hAnsi="Times New Roman" w:cs="Times New Roman"/>
          <w:sz w:val="24"/>
          <w:szCs w:val="24"/>
          <w:lang w:val="en-GB"/>
        </w:rPr>
        <w:t xml:space="preserve"> </w:t>
      </w:r>
    </w:p>
    <w:p w14:paraId="1492BC96" w14:textId="77777777" w:rsidR="003060C1" w:rsidRPr="005D5E57" w:rsidRDefault="003060C1"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lastRenderedPageBreak/>
        <w:t>Acknowledgment</w:t>
      </w:r>
    </w:p>
    <w:p w14:paraId="35418EFB" w14:textId="45BA45A1" w:rsidR="00644835" w:rsidRPr="000B529C" w:rsidRDefault="000B529C" w:rsidP="000B529C">
      <w:pPr>
        <w:spacing w:after="0" w:line="240" w:lineRule="auto"/>
        <w:jc w:val="both"/>
        <w:rPr>
          <w:rFonts w:ascii="Times New Roman" w:hAnsi="Times New Roman" w:cs="Times New Roman"/>
          <w:sz w:val="24"/>
          <w:szCs w:val="24"/>
          <w:lang w:val="en-GB"/>
        </w:rPr>
      </w:pPr>
      <w:r w:rsidRPr="000B529C">
        <w:rPr>
          <w:rFonts w:ascii="Times New Roman" w:hAnsi="Times New Roman" w:cs="Times New Roman"/>
          <w:sz w:val="24"/>
          <w:szCs w:val="24"/>
          <w:lang w:val="en-GB"/>
        </w:rPr>
        <w:t>Here you can insert acknowledgement to the people and institutions that provide</w:t>
      </w:r>
      <w:r>
        <w:rPr>
          <w:rFonts w:ascii="Times New Roman" w:hAnsi="Times New Roman" w:cs="Times New Roman"/>
          <w:b/>
          <w:sz w:val="24"/>
          <w:szCs w:val="24"/>
          <w:lang w:val="en-GB"/>
        </w:rPr>
        <w:t xml:space="preserve"> </w:t>
      </w:r>
      <w:r w:rsidRPr="000B529C">
        <w:rPr>
          <w:rFonts w:ascii="Times New Roman" w:hAnsi="Times New Roman" w:cs="Times New Roman"/>
          <w:sz w:val="24"/>
          <w:szCs w:val="24"/>
          <w:lang w:val="en-GB"/>
        </w:rPr>
        <w:t>support for the research process leading to writing the paper</w:t>
      </w:r>
      <w:r>
        <w:rPr>
          <w:rFonts w:ascii="Times New Roman" w:hAnsi="Times New Roman" w:cs="Times New Roman"/>
          <w:sz w:val="24"/>
          <w:szCs w:val="24"/>
          <w:lang w:val="en-GB"/>
        </w:rPr>
        <w:t>,</w:t>
      </w:r>
      <w:r w:rsidRPr="000B529C">
        <w:rPr>
          <w:rFonts w:ascii="Times New Roman" w:hAnsi="Times New Roman" w:cs="Times New Roman"/>
          <w:sz w:val="24"/>
          <w:szCs w:val="24"/>
          <w:lang w:val="en-GB"/>
        </w:rPr>
        <w:t xml:space="preserve"> if you like.</w:t>
      </w:r>
    </w:p>
    <w:p w14:paraId="5C598F3F" w14:textId="77777777" w:rsidR="003060C1" w:rsidRPr="005D5E57" w:rsidRDefault="00EA4EDD"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t>References</w:t>
      </w:r>
    </w:p>
    <w:p w14:paraId="53752AD0" w14:textId="77777777" w:rsidR="000B529C" w:rsidRDefault="000B529C" w:rsidP="000B529C">
      <w:pPr>
        <w:pStyle w:val="Default"/>
        <w:ind w:left="284" w:hanging="284"/>
        <w:rPr>
          <w:rFonts w:ascii="Times New Roman" w:hAnsi="Times New Roman" w:cs="Times New Roman"/>
        </w:rPr>
      </w:pPr>
      <w:proofErr w:type="spellStart"/>
      <w:r>
        <w:rPr>
          <w:rFonts w:ascii="Times New Roman" w:hAnsi="Times New Roman" w:cs="Times New Roman"/>
        </w:rPr>
        <w:t>Hendl</w:t>
      </w:r>
      <w:proofErr w:type="spellEnd"/>
      <w:r>
        <w:rPr>
          <w:rFonts w:ascii="Times New Roman" w:hAnsi="Times New Roman" w:cs="Times New Roman"/>
        </w:rPr>
        <w:t xml:space="preserve">, J. (2005). </w:t>
      </w:r>
      <w:r>
        <w:rPr>
          <w:rFonts w:ascii="Times New Roman" w:hAnsi="Times New Roman" w:cs="Times New Roman"/>
          <w:i/>
          <w:iCs/>
        </w:rPr>
        <w:t xml:space="preserve">Kvalitativní výzkum. </w:t>
      </w:r>
      <w:r>
        <w:rPr>
          <w:rFonts w:ascii="Times New Roman" w:hAnsi="Times New Roman" w:cs="Times New Roman"/>
        </w:rPr>
        <w:t xml:space="preserve">Praha: Portál. </w:t>
      </w:r>
    </w:p>
    <w:p w14:paraId="50F8588F" w14:textId="77777777" w:rsidR="000B529C" w:rsidRDefault="000B529C" w:rsidP="000B529C">
      <w:pPr>
        <w:spacing w:after="0" w:line="240" w:lineRule="auto"/>
        <w:ind w:left="284" w:hanging="284"/>
        <w:rPr>
          <w:rFonts w:ascii="Times New Roman" w:hAnsi="Times New Roman" w:cs="Times New Roman"/>
          <w:b/>
          <w:sz w:val="24"/>
          <w:szCs w:val="24"/>
        </w:rPr>
      </w:pPr>
      <w:proofErr w:type="spellStart"/>
      <w:r>
        <w:rPr>
          <w:rFonts w:ascii="Times New Roman" w:hAnsi="Times New Roman" w:cs="Times New Roman"/>
          <w:sz w:val="24"/>
          <w:szCs w:val="24"/>
        </w:rPr>
        <w:t>Illich</w:t>
      </w:r>
      <w:proofErr w:type="spellEnd"/>
      <w:r>
        <w:rPr>
          <w:rFonts w:ascii="Times New Roman" w:hAnsi="Times New Roman" w:cs="Times New Roman"/>
          <w:sz w:val="24"/>
          <w:szCs w:val="24"/>
        </w:rPr>
        <w:t xml:space="preserve">, I. (1970). </w:t>
      </w:r>
      <w:proofErr w:type="spellStart"/>
      <w:r>
        <w:rPr>
          <w:rFonts w:ascii="Times New Roman" w:hAnsi="Times New Roman" w:cs="Times New Roman"/>
          <w:i/>
          <w:iCs/>
          <w:sz w:val="24"/>
          <w:szCs w:val="24"/>
        </w:rPr>
        <w:t>Deschooling</w:t>
      </w:r>
      <w:proofErr w:type="spellEnd"/>
      <w:r>
        <w:rPr>
          <w:rFonts w:ascii="Times New Roman" w:hAnsi="Times New Roman" w:cs="Times New Roman"/>
          <w:i/>
          <w:iCs/>
          <w:sz w:val="24"/>
          <w:szCs w:val="24"/>
        </w:rPr>
        <w:t xml:space="preserve"> society.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Harper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Row</w:t>
      </w:r>
      <w:proofErr w:type="spellEnd"/>
      <w:r>
        <w:rPr>
          <w:rFonts w:ascii="Times New Roman" w:hAnsi="Times New Roman" w:cs="Times New Roman"/>
          <w:sz w:val="24"/>
          <w:szCs w:val="24"/>
        </w:rPr>
        <w:t>.</w:t>
      </w:r>
    </w:p>
    <w:p w14:paraId="626A4E79" w14:textId="77777777" w:rsidR="000B529C" w:rsidRDefault="000B529C" w:rsidP="000B529C">
      <w:pPr>
        <w:pStyle w:val="Default"/>
        <w:ind w:left="284" w:hanging="284"/>
        <w:rPr>
          <w:rFonts w:ascii="Times New Roman" w:hAnsi="Times New Roman" w:cs="Times New Roman"/>
        </w:rPr>
      </w:pPr>
      <w:proofErr w:type="spellStart"/>
      <w:r>
        <w:rPr>
          <w:rFonts w:ascii="Times New Roman" w:hAnsi="Times New Roman" w:cs="Times New Roman"/>
        </w:rPr>
        <w:t>Doyle</w:t>
      </w:r>
      <w:proofErr w:type="spellEnd"/>
      <w:r>
        <w:rPr>
          <w:rFonts w:ascii="Times New Roman" w:hAnsi="Times New Roman" w:cs="Times New Roman"/>
        </w:rPr>
        <w:t xml:space="preserve">, W. (1996). Curriculum and pedagogy. In P. W. Jackson (Ed.), </w:t>
      </w:r>
      <w:r>
        <w:rPr>
          <w:rFonts w:ascii="Times New Roman" w:hAnsi="Times New Roman" w:cs="Times New Roman"/>
          <w:i/>
          <w:iCs/>
        </w:rPr>
        <w:t xml:space="preserve">Handbook </w:t>
      </w:r>
      <w:proofErr w:type="spellStart"/>
      <w:r>
        <w:rPr>
          <w:rFonts w:ascii="Times New Roman" w:hAnsi="Times New Roman" w:cs="Times New Roman"/>
          <w:i/>
          <w:iCs/>
        </w:rPr>
        <w:t>of</w:t>
      </w:r>
      <w:proofErr w:type="spellEnd"/>
      <w:r>
        <w:rPr>
          <w:rFonts w:ascii="Times New Roman" w:hAnsi="Times New Roman" w:cs="Times New Roman"/>
          <w:i/>
          <w:iCs/>
        </w:rPr>
        <w:t xml:space="preserve"> </w:t>
      </w:r>
      <w:proofErr w:type="spellStart"/>
      <w:r>
        <w:rPr>
          <w:rFonts w:ascii="Times New Roman" w:hAnsi="Times New Roman" w:cs="Times New Roman"/>
          <w:i/>
          <w:iCs/>
        </w:rPr>
        <w:t>research</w:t>
      </w:r>
      <w:proofErr w:type="spellEnd"/>
      <w:r>
        <w:rPr>
          <w:rFonts w:ascii="Times New Roman" w:hAnsi="Times New Roman" w:cs="Times New Roman"/>
          <w:i/>
          <w:iCs/>
        </w:rPr>
        <w:t xml:space="preserve"> on curriculum </w:t>
      </w:r>
      <w:r>
        <w:rPr>
          <w:rFonts w:ascii="Times New Roman" w:hAnsi="Times New Roman" w:cs="Times New Roman"/>
        </w:rPr>
        <w:t>(s. 486–516)</w:t>
      </w:r>
      <w:r>
        <w:rPr>
          <w:rFonts w:ascii="Times New Roman" w:hAnsi="Times New Roman" w:cs="Times New Roman"/>
          <w:i/>
          <w:iCs/>
        </w:rPr>
        <w:t xml:space="preserve">. </w:t>
      </w:r>
      <w:r>
        <w:rPr>
          <w:rFonts w:ascii="Times New Roman" w:hAnsi="Times New Roman" w:cs="Times New Roman"/>
        </w:rPr>
        <w:t xml:space="preserve">New York: </w:t>
      </w:r>
      <w:proofErr w:type="spellStart"/>
      <w:r>
        <w:rPr>
          <w:rFonts w:ascii="Times New Roman" w:hAnsi="Times New Roman" w:cs="Times New Roman"/>
        </w:rPr>
        <w:t>Macmillan</w:t>
      </w:r>
      <w:proofErr w:type="spellEnd"/>
      <w:r>
        <w:rPr>
          <w:rFonts w:ascii="Times New Roman" w:hAnsi="Times New Roman" w:cs="Times New Roman"/>
        </w:rPr>
        <w:t xml:space="preserve">. </w:t>
      </w:r>
    </w:p>
    <w:p w14:paraId="235160B5"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He, M. F. (2010, v tisku). Exile pedagogy: </w:t>
      </w: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in-</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In J. A. </w:t>
      </w:r>
      <w:proofErr w:type="spellStart"/>
      <w:r>
        <w:rPr>
          <w:rFonts w:ascii="Times New Roman" w:hAnsi="Times New Roman" w:cs="Times New Roman"/>
          <w:sz w:val="24"/>
          <w:szCs w:val="24"/>
        </w:rPr>
        <w:t>Sandlin</w:t>
      </w:r>
      <w:proofErr w:type="spellEnd"/>
      <w:r>
        <w:rPr>
          <w:rFonts w:ascii="Times New Roman" w:hAnsi="Times New Roman" w:cs="Times New Roman"/>
          <w:sz w:val="24"/>
          <w:szCs w:val="24"/>
        </w:rPr>
        <w:t xml:space="preserve">, B. D. </w:t>
      </w:r>
      <w:proofErr w:type="spellStart"/>
      <w:r>
        <w:rPr>
          <w:rFonts w:ascii="Times New Roman" w:hAnsi="Times New Roman" w:cs="Times New Roman"/>
          <w:sz w:val="24"/>
          <w:szCs w:val="24"/>
        </w:rPr>
        <w:t>Schultz</w:t>
      </w:r>
      <w:proofErr w:type="spellEnd"/>
      <w:r>
        <w:rPr>
          <w:rFonts w:ascii="Times New Roman" w:hAnsi="Times New Roman" w:cs="Times New Roman"/>
          <w:sz w:val="24"/>
          <w:szCs w:val="24"/>
        </w:rPr>
        <w:t xml:space="preserve">, &amp; J. </w:t>
      </w:r>
      <w:proofErr w:type="spellStart"/>
      <w:r>
        <w:rPr>
          <w:rFonts w:ascii="Times New Roman" w:hAnsi="Times New Roman" w:cs="Times New Roman"/>
          <w:sz w:val="24"/>
          <w:szCs w:val="24"/>
        </w:rPr>
        <w:t>Burdick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Handbook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public pedagogy: </w:t>
      </w:r>
      <w:proofErr w:type="spellStart"/>
      <w:r>
        <w:rPr>
          <w:rFonts w:ascii="Times New Roman" w:hAnsi="Times New Roman" w:cs="Times New Roman"/>
          <w:i/>
          <w:iCs/>
          <w:sz w:val="24"/>
          <w:szCs w:val="24"/>
        </w:rPr>
        <w:t>Education</w:t>
      </w:r>
      <w:proofErr w:type="spellEnd"/>
      <w:r>
        <w:rPr>
          <w:rFonts w:ascii="Times New Roman" w:hAnsi="Times New Roman" w:cs="Times New Roman"/>
          <w:i/>
          <w:iCs/>
          <w:sz w:val="24"/>
          <w:szCs w:val="24"/>
        </w:rPr>
        <w:t xml:space="preserve"> and </w:t>
      </w:r>
      <w:proofErr w:type="spellStart"/>
      <w:r>
        <w:rPr>
          <w:rFonts w:ascii="Times New Roman" w:hAnsi="Times New Roman" w:cs="Times New Roman"/>
          <w:i/>
          <w:iCs/>
          <w:sz w:val="24"/>
          <w:szCs w:val="24"/>
        </w:rPr>
        <w:t>learning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beyond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schooling</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 469–482). 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w:t>
      </w:r>
    </w:p>
    <w:p w14:paraId="03F7D70D" w14:textId="77777777" w:rsidR="000B529C" w:rsidRDefault="000B529C" w:rsidP="000B529C">
      <w:pPr>
        <w:pStyle w:val="Default"/>
        <w:ind w:left="284" w:hanging="284"/>
        <w:rPr>
          <w:rFonts w:ascii="Times New Roman" w:hAnsi="Times New Roman" w:cs="Times New Roman"/>
        </w:rPr>
      </w:pPr>
      <w:r>
        <w:rPr>
          <w:rFonts w:ascii="Times New Roman" w:hAnsi="Times New Roman" w:cs="Times New Roman"/>
        </w:rPr>
        <w:t xml:space="preserve">Schubert, W. H. (1980). </w:t>
      </w:r>
      <w:proofErr w:type="spellStart"/>
      <w:r>
        <w:rPr>
          <w:rFonts w:ascii="Times New Roman" w:hAnsi="Times New Roman" w:cs="Times New Roman"/>
        </w:rPr>
        <w:t>Recalibrating</w:t>
      </w:r>
      <w:proofErr w:type="spellEnd"/>
      <w:r>
        <w:rPr>
          <w:rFonts w:ascii="Times New Roman" w:hAnsi="Times New Roman" w:cs="Times New Roman"/>
        </w:rPr>
        <w:t xml:space="preserve"> </w:t>
      </w:r>
      <w:proofErr w:type="spellStart"/>
      <w:r>
        <w:rPr>
          <w:rFonts w:ascii="Times New Roman" w:hAnsi="Times New Roman" w:cs="Times New Roman"/>
        </w:rPr>
        <w:t>educational</w:t>
      </w:r>
      <w:proofErr w:type="spellEnd"/>
      <w:r>
        <w:rPr>
          <w:rFonts w:ascii="Times New Roman" w:hAnsi="Times New Roman" w:cs="Times New Roman"/>
        </w:rPr>
        <w:t xml:space="preserve"> </w:t>
      </w:r>
      <w:proofErr w:type="spellStart"/>
      <w:r>
        <w:rPr>
          <w:rFonts w:ascii="Times New Roman" w:hAnsi="Times New Roman" w:cs="Times New Roman"/>
        </w:rPr>
        <w:t>research</w:t>
      </w:r>
      <w:proofErr w:type="spellEnd"/>
      <w:r>
        <w:rPr>
          <w:rFonts w:ascii="Times New Roman" w:hAnsi="Times New Roman" w:cs="Times New Roman"/>
        </w:rPr>
        <w:t xml:space="preserve">: </w:t>
      </w:r>
      <w:proofErr w:type="spellStart"/>
      <w:r>
        <w:rPr>
          <w:rFonts w:ascii="Times New Roman" w:hAnsi="Times New Roman" w:cs="Times New Roman"/>
        </w:rPr>
        <w:t>Toward</w:t>
      </w:r>
      <w:proofErr w:type="spellEnd"/>
      <w:r>
        <w:rPr>
          <w:rFonts w:ascii="Times New Roman" w:hAnsi="Times New Roman" w:cs="Times New Roman"/>
        </w:rPr>
        <w:t xml:space="preserve"> a </w:t>
      </w:r>
      <w:proofErr w:type="spellStart"/>
      <w:r>
        <w:rPr>
          <w:rFonts w:ascii="Times New Roman" w:hAnsi="Times New Roman" w:cs="Times New Roman"/>
        </w:rPr>
        <w:t>focus</w:t>
      </w:r>
      <w:proofErr w:type="spellEnd"/>
      <w:r>
        <w:rPr>
          <w:rFonts w:ascii="Times New Roman" w:hAnsi="Times New Roman" w:cs="Times New Roman"/>
        </w:rPr>
        <w:t xml:space="preserve"> on </w:t>
      </w:r>
      <w:proofErr w:type="spellStart"/>
      <w:r>
        <w:rPr>
          <w:rFonts w:ascii="Times New Roman" w:hAnsi="Times New Roman" w:cs="Times New Roman"/>
        </w:rPr>
        <w:t>practice</w:t>
      </w:r>
      <w:proofErr w:type="spellEnd"/>
      <w:r>
        <w:rPr>
          <w:rFonts w:ascii="Times New Roman" w:hAnsi="Times New Roman" w:cs="Times New Roman"/>
        </w:rPr>
        <w:t xml:space="preserve">. </w:t>
      </w:r>
      <w:proofErr w:type="spellStart"/>
      <w:r>
        <w:rPr>
          <w:rFonts w:ascii="Times New Roman" w:hAnsi="Times New Roman" w:cs="Times New Roman"/>
          <w:i/>
          <w:iCs/>
        </w:rPr>
        <w:t>Educational</w:t>
      </w:r>
      <w:proofErr w:type="spellEnd"/>
      <w:r>
        <w:rPr>
          <w:rFonts w:ascii="Times New Roman" w:hAnsi="Times New Roman" w:cs="Times New Roman"/>
          <w:i/>
          <w:iCs/>
        </w:rPr>
        <w:t xml:space="preserve"> </w:t>
      </w:r>
      <w:proofErr w:type="spellStart"/>
      <w:r>
        <w:rPr>
          <w:rFonts w:ascii="Times New Roman" w:hAnsi="Times New Roman" w:cs="Times New Roman"/>
          <w:i/>
          <w:iCs/>
        </w:rPr>
        <w:t>Researcher</w:t>
      </w:r>
      <w:proofErr w:type="spellEnd"/>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 xml:space="preserve">(1), 17–24. </w:t>
      </w:r>
    </w:p>
    <w:p w14:paraId="5601B249" w14:textId="77777777" w:rsidR="000B529C" w:rsidRDefault="000B529C" w:rsidP="000B529C">
      <w:pPr>
        <w:pStyle w:val="Default"/>
        <w:ind w:left="284" w:hanging="284"/>
        <w:rPr>
          <w:rFonts w:ascii="Times New Roman" w:hAnsi="Times New Roman" w:cs="Times New Roman"/>
        </w:rPr>
      </w:pPr>
      <w:proofErr w:type="spellStart"/>
      <w:r>
        <w:rPr>
          <w:rFonts w:ascii="Times New Roman" w:hAnsi="Times New Roman" w:cs="Times New Roman"/>
        </w:rPr>
        <w:t>Vašťatková</w:t>
      </w:r>
      <w:proofErr w:type="spellEnd"/>
      <w:r>
        <w:rPr>
          <w:rFonts w:ascii="Times New Roman" w:hAnsi="Times New Roman" w:cs="Times New Roman"/>
        </w:rPr>
        <w:t xml:space="preserve">, J., &amp; Prášilová, M. (2007). Česká škola = učící se škola. </w:t>
      </w:r>
      <w:r>
        <w:rPr>
          <w:rFonts w:ascii="Times New Roman" w:hAnsi="Times New Roman" w:cs="Times New Roman"/>
          <w:i/>
          <w:iCs/>
        </w:rPr>
        <w:t>Pedagogická orientace</w:t>
      </w:r>
      <w:r>
        <w:rPr>
          <w:rFonts w:ascii="Times New Roman" w:hAnsi="Times New Roman" w:cs="Times New Roman"/>
        </w:rPr>
        <w:t xml:space="preserve">, </w:t>
      </w:r>
      <w:r>
        <w:rPr>
          <w:rFonts w:ascii="Times New Roman" w:hAnsi="Times New Roman" w:cs="Times New Roman"/>
          <w:i/>
          <w:iCs/>
        </w:rPr>
        <w:t>17</w:t>
      </w:r>
      <w:r>
        <w:rPr>
          <w:rFonts w:ascii="Times New Roman" w:hAnsi="Times New Roman" w:cs="Times New Roman"/>
        </w:rPr>
        <w:t>(1), 5–11.</w:t>
      </w:r>
    </w:p>
    <w:p w14:paraId="1A218CF0" w14:textId="77777777" w:rsidR="000B529C" w:rsidRDefault="000B529C" w:rsidP="000B529C">
      <w:pPr>
        <w:spacing w:after="0" w:line="240" w:lineRule="auto"/>
        <w:ind w:left="284" w:hanging="284"/>
        <w:rPr>
          <w:rFonts w:ascii="Times New Roman" w:hAnsi="Times New Roman" w:cs="Times New Roman"/>
          <w:b/>
          <w:sz w:val="24"/>
          <w:szCs w:val="24"/>
        </w:rPr>
      </w:pPr>
      <w:r>
        <w:rPr>
          <w:rFonts w:ascii="Times New Roman" w:hAnsi="Times New Roman" w:cs="Times New Roman"/>
          <w:sz w:val="24"/>
          <w:szCs w:val="24"/>
        </w:rPr>
        <w:t xml:space="preserve">Chvál, M., Michek, S., &amp; </w:t>
      </w:r>
      <w:proofErr w:type="spellStart"/>
      <w:r>
        <w:rPr>
          <w:rFonts w:ascii="Times New Roman" w:hAnsi="Times New Roman" w:cs="Times New Roman"/>
          <w:sz w:val="24"/>
          <w:szCs w:val="24"/>
        </w:rPr>
        <w:t>Pol</w:t>
      </w:r>
      <w:proofErr w:type="spellEnd"/>
      <w:r>
        <w:rPr>
          <w:rFonts w:ascii="Times New Roman" w:hAnsi="Times New Roman" w:cs="Times New Roman"/>
          <w:sz w:val="24"/>
          <w:szCs w:val="24"/>
        </w:rPr>
        <w:t>, M.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(2010). Evaluace ve škole [Monotematické číslo]. </w:t>
      </w:r>
      <w:r>
        <w:rPr>
          <w:rFonts w:ascii="Times New Roman" w:hAnsi="Times New Roman" w:cs="Times New Roman"/>
          <w:i/>
          <w:iCs/>
          <w:sz w:val="24"/>
          <w:szCs w:val="24"/>
        </w:rPr>
        <w:t xml:space="preserve">Orbis </w:t>
      </w:r>
      <w:proofErr w:type="spellStart"/>
      <w:r>
        <w:rPr>
          <w:rFonts w:ascii="Times New Roman" w:hAnsi="Times New Roman" w:cs="Times New Roman"/>
          <w:i/>
          <w:iCs/>
          <w:sz w:val="24"/>
          <w:szCs w:val="24"/>
        </w:rPr>
        <w:t>scholae</w:t>
      </w:r>
      <w:proofErr w:type="spellEnd"/>
      <w:r>
        <w:rPr>
          <w:rFonts w:ascii="Times New Roman" w:hAnsi="Times New Roman" w:cs="Times New Roman"/>
          <w:i/>
          <w:iCs/>
          <w:sz w:val="24"/>
          <w:szCs w:val="24"/>
        </w:rPr>
        <w:t>, 4</w:t>
      </w:r>
      <w:r>
        <w:rPr>
          <w:rFonts w:ascii="Times New Roman" w:hAnsi="Times New Roman" w:cs="Times New Roman"/>
          <w:sz w:val="24"/>
          <w:szCs w:val="24"/>
        </w:rPr>
        <w:t>(1).</w:t>
      </w:r>
    </w:p>
    <w:p w14:paraId="142894AE" w14:textId="77777777" w:rsidR="000B529C" w:rsidRDefault="000B529C" w:rsidP="000B529C">
      <w:pPr>
        <w:pStyle w:val="Default"/>
        <w:ind w:left="284" w:hanging="284"/>
        <w:rPr>
          <w:rFonts w:ascii="Times New Roman" w:hAnsi="Times New Roman" w:cs="Times New Roman"/>
        </w:rPr>
      </w:pPr>
      <w:proofErr w:type="spellStart"/>
      <w:r>
        <w:rPr>
          <w:rFonts w:ascii="Times New Roman" w:hAnsi="Times New Roman" w:cs="Times New Roman"/>
        </w:rPr>
        <w:t>Johnsen</w:t>
      </w:r>
      <w:proofErr w:type="spellEnd"/>
      <w:r>
        <w:rPr>
          <w:rFonts w:ascii="Times New Roman" w:hAnsi="Times New Roman" w:cs="Times New Roman"/>
        </w:rPr>
        <w:t xml:space="preserve">, E. B. (2001). </w:t>
      </w:r>
      <w:proofErr w:type="spellStart"/>
      <w:r>
        <w:rPr>
          <w:rFonts w:ascii="Times New Roman" w:hAnsi="Times New Roman" w:cs="Times New Roman"/>
          <w:i/>
          <w:iCs/>
        </w:rPr>
        <w:t>Textbooks</w:t>
      </w:r>
      <w:proofErr w:type="spellEnd"/>
      <w:r>
        <w:rPr>
          <w:rFonts w:ascii="Times New Roman" w:hAnsi="Times New Roman" w:cs="Times New Roman"/>
          <w:i/>
          <w:iCs/>
        </w:rPr>
        <w:t xml:space="preserve"> in </w:t>
      </w:r>
      <w:proofErr w:type="spellStart"/>
      <w:r>
        <w:rPr>
          <w:rFonts w:ascii="Times New Roman" w:hAnsi="Times New Roman" w:cs="Times New Roman"/>
          <w:i/>
          <w:iCs/>
        </w:rPr>
        <w:t>the</w:t>
      </w:r>
      <w:proofErr w:type="spellEnd"/>
      <w:r>
        <w:rPr>
          <w:rFonts w:ascii="Times New Roman" w:hAnsi="Times New Roman" w:cs="Times New Roman"/>
          <w:i/>
          <w:iCs/>
        </w:rPr>
        <w:t xml:space="preserve"> </w:t>
      </w:r>
      <w:proofErr w:type="spellStart"/>
      <w:r>
        <w:rPr>
          <w:rFonts w:ascii="Times New Roman" w:hAnsi="Times New Roman" w:cs="Times New Roman"/>
          <w:i/>
          <w:iCs/>
        </w:rPr>
        <w:t>kaleidoscope</w:t>
      </w:r>
      <w:proofErr w:type="spellEnd"/>
      <w:r>
        <w:rPr>
          <w:rFonts w:ascii="Times New Roman" w:hAnsi="Times New Roman" w:cs="Times New Roman"/>
        </w:rPr>
        <w:t xml:space="preserve">. Dostupné z http://www-bib.hive.no/tekster/pedtekst/kaleidoscope/index.html </w:t>
      </w:r>
    </w:p>
    <w:p w14:paraId="73DC813E"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Jandová, R. (Ed.). (2007). </w:t>
      </w:r>
      <w:r>
        <w:rPr>
          <w:rFonts w:ascii="Times New Roman" w:hAnsi="Times New Roman" w:cs="Times New Roman"/>
          <w:i/>
          <w:iCs/>
          <w:sz w:val="24"/>
          <w:szCs w:val="24"/>
        </w:rPr>
        <w:t xml:space="preserve">Svět výchovy a vzdělávání v reflexi současného pedagogického výzkumu </w:t>
      </w:r>
      <w:r>
        <w:rPr>
          <w:rFonts w:ascii="Times New Roman" w:hAnsi="Times New Roman" w:cs="Times New Roman"/>
          <w:sz w:val="24"/>
          <w:szCs w:val="24"/>
        </w:rPr>
        <w:t>[CD-ROM]. České Budějovice: JČU.</w:t>
      </w:r>
    </w:p>
    <w:p w14:paraId="6D5723E7" w14:textId="77777777" w:rsidR="000B529C" w:rsidRDefault="000B529C" w:rsidP="000B529C">
      <w:pPr>
        <w:pStyle w:val="Default"/>
        <w:ind w:left="284" w:hanging="284"/>
        <w:rPr>
          <w:rFonts w:ascii="Times New Roman" w:hAnsi="Times New Roman" w:cs="Times New Roman"/>
        </w:rPr>
      </w:pPr>
      <w:proofErr w:type="spellStart"/>
      <w:r>
        <w:rPr>
          <w:rFonts w:ascii="Times New Roman" w:hAnsi="Times New Roman" w:cs="Times New Roman"/>
        </w:rPr>
        <w:t>Najvar</w:t>
      </w:r>
      <w:proofErr w:type="spellEnd"/>
      <w:r>
        <w:rPr>
          <w:rFonts w:ascii="Times New Roman" w:hAnsi="Times New Roman" w:cs="Times New Roman"/>
        </w:rPr>
        <w:t xml:space="preserve">, P., &amp; </w:t>
      </w:r>
      <w:proofErr w:type="spellStart"/>
      <w:r>
        <w:rPr>
          <w:rFonts w:ascii="Times New Roman" w:hAnsi="Times New Roman" w:cs="Times New Roman"/>
        </w:rPr>
        <w:t>Najvarová</w:t>
      </w:r>
      <w:proofErr w:type="spellEnd"/>
      <w:r>
        <w:rPr>
          <w:rFonts w:ascii="Times New Roman" w:hAnsi="Times New Roman" w:cs="Times New Roman"/>
        </w:rPr>
        <w:t xml:space="preserve">, V. (2007). Metodologický postup CPV </w:t>
      </w:r>
      <w:proofErr w:type="spellStart"/>
      <w:r>
        <w:rPr>
          <w:rFonts w:ascii="Times New Roman" w:hAnsi="Times New Roman" w:cs="Times New Roman"/>
        </w:rPr>
        <w:t>videostudie</w:t>
      </w:r>
      <w:proofErr w:type="spellEnd"/>
      <w:r>
        <w:rPr>
          <w:rFonts w:ascii="Times New Roman" w:hAnsi="Times New Roman" w:cs="Times New Roman"/>
        </w:rPr>
        <w:t xml:space="preserve"> anglického jazyka: analýza výuky anglického jazyka na 2. stupni základní školy. In R. Jandová (Ed.), </w:t>
      </w:r>
      <w:r>
        <w:rPr>
          <w:rFonts w:ascii="Times New Roman" w:hAnsi="Times New Roman" w:cs="Times New Roman"/>
          <w:i/>
          <w:iCs/>
        </w:rPr>
        <w:t xml:space="preserve">Svět výchovy a vzdělávání v reflexi současného pedagogického výzkumu </w:t>
      </w:r>
      <w:r>
        <w:rPr>
          <w:rFonts w:ascii="Times New Roman" w:hAnsi="Times New Roman" w:cs="Times New Roman"/>
        </w:rPr>
        <w:t xml:space="preserve">(s. 1–9). České Budějovice: JČU. [CD-ROM] </w:t>
      </w:r>
    </w:p>
    <w:p w14:paraId="430942D7" w14:textId="77777777" w:rsidR="000B529C" w:rsidRDefault="000B529C" w:rsidP="000B529C">
      <w:pPr>
        <w:spacing w:after="0" w:line="240" w:lineRule="auto"/>
        <w:ind w:left="284" w:hanging="284"/>
        <w:rPr>
          <w:rFonts w:ascii="Times New Roman" w:hAnsi="Times New Roman" w:cs="Times New Roman"/>
          <w:sz w:val="24"/>
          <w:szCs w:val="24"/>
        </w:rPr>
      </w:pPr>
      <w:proofErr w:type="spellStart"/>
      <w:r>
        <w:rPr>
          <w:rFonts w:ascii="Times New Roman" w:hAnsi="Times New Roman" w:cs="Times New Roman"/>
          <w:sz w:val="24"/>
          <w:szCs w:val="24"/>
        </w:rPr>
        <w:t>Najvar</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Najvarová</w:t>
      </w:r>
      <w:proofErr w:type="spellEnd"/>
      <w:r>
        <w:rPr>
          <w:rFonts w:ascii="Times New Roman" w:hAnsi="Times New Roman" w:cs="Times New Roman"/>
          <w:sz w:val="24"/>
          <w:szCs w:val="24"/>
        </w:rPr>
        <w:t xml:space="preserve">, V., &amp; Doležalová, J. (2007). </w:t>
      </w:r>
      <w:proofErr w:type="spellStart"/>
      <w:r>
        <w:rPr>
          <w:rFonts w:ascii="Times New Roman" w:hAnsi="Times New Roman" w:cs="Times New Roman"/>
          <w:i/>
          <w:iCs/>
          <w:sz w:val="24"/>
          <w:szCs w:val="24"/>
        </w:rPr>
        <w:t>Reading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skills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students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faculties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education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Berlin</w:t>
      </w:r>
      <w:proofErr w:type="spellEnd"/>
      <w:r>
        <w:rPr>
          <w:rFonts w:ascii="Times New Roman" w:hAnsi="Times New Roman" w:cs="Times New Roman"/>
          <w:sz w:val="24"/>
          <w:szCs w:val="24"/>
        </w:rPr>
        <w:t>: DGLS. Dostupné z http://www.literacyeurope.org/IDEC/proceedings%20berlin/dolezalova_najvarova_najvar.pdf</w:t>
      </w:r>
    </w:p>
    <w:p w14:paraId="5555F790"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Šlégrová, A. (2006). Měření matematické gramotnosti v rámci mezinárodního výzkumu OECD PISA v roce 2003. </w:t>
      </w:r>
      <w:r>
        <w:rPr>
          <w:rFonts w:ascii="Times New Roman" w:hAnsi="Times New Roman" w:cs="Times New Roman"/>
          <w:i/>
          <w:iCs/>
          <w:sz w:val="24"/>
          <w:szCs w:val="24"/>
        </w:rPr>
        <w:t>E-</w:t>
      </w:r>
      <w:proofErr w:type="spellStart"/>
      <w:r>
        <w:rPr>
          <w:rFonts w:ascii="Times New Roman" w:hAnsi="Times New Roman" w:cs="Times New Roman"/>
          <w:i/>
          <w:iCs/>
          <w:sz w:val="24"/>
          <w:szCs w:val="24"/>
        </w:rPr>
        <w:t>pedagogium</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6</w:t>
      </w:r>
      <w:r>
        <w:rPr>
          <w:rFonts w:ascii="Times New Roman" w:hAnsi="Times New Roman" w:cs="Times New Roman"/>
          <w:sz w:val="24"/>
          <w:szCs w:val="24"/>
        </w:rPr>
        <w:t>(4), 70–77. Dostupné z http://www.upol.cz/fakulty/pdf/e-pedagogium/</w:t>
      </w:r>
    </w:p>
    <w:p w14:paraId="5E0737C3" w14:textId="77777777" w:rsidR="000B529C" w:rsidRDefault="000B529C" w:rsidP="000B529C">
      <w:pPr>
        <w:pStyle w:val="Default"/>
        <w:ind w:left="284" w:hanging="284"/>
        <w:rPr>
          <w:rFonts w:ascii="Times New Roman" w:hAnsi="Times New Roman" w:cs="Times New Roman"/>
        </w:rPr>
      </w:pPr>
      <w:proofErr w:type="spellStart"/>
      <w:r>
        <w:rPr>
          <w:rFonts w:ascii="Times New Roman" w:hAnsi="Times New Roman" w:cs="Times New Roman"/>
        </w:rPr>
        <w:t>Herweg</w:t>
      </w:r>
      <w:proofErr w:type="spellEnd"/>
      <w:r>
        <w:rPr>
          <w:rFonts w:ascii="Times New Roman" w:hAnsi="Times New Roman" w:cs="Times New Roman"/>
        </w:rPr>
        <w:t xml:space="preserve">, C. (2008). </w:t>
      </w:r>
      <w:proofErr w:type="spellStart"/>
      <w:r>
        <w:rPr>
          <w:rFonts w:ascii="Times New Roman" w:hAnsi="Times New Roman" w:cs="Times New Roman"/>
          <w:i/>
          <w:iCs/>
        </w:rPr>
        <w:t>Zielorientierung</w:t>
      </w:r>
      <w:proofErr w:type="spellEnd"/>
      <w:r>
        <w:rPr>
          <w:rFonts w:ascii="Times New Roman" w:hAnsi="Times New Roman" w:cs="Times New Roman"/>
          <w:i/>
          <w:iCs/>
        </w:rPr>
        <w:t xml:space="preserve"> </w:t>
      </w:r>
      <w:proofErr w:type="spellStart"/>
      <w:r>
        <w:rPr>
          <w:rFonts w:ascii="Times New Roman" w:hAnsi="Times New Roman" w:cs="Times New Roman"/>
          <w:i/>
          <w:iCs/>
        </w:rPr>
        <w:t>im</w:t>
      </w:r>
      <w:proofErr w:type="spellEnd"/>
      <w:r>
        <w:rPr>
          <w:rFonts w:ascii="Times New Roman" w:hAnsi="Times New Roman" w:cs="Times New Roman"/>
          <w:i/>
          <w:iCs/>
        </w:rPr>
        <w:t xml:space="preserve"> </w:t>
      </w:r>
      <w:proofErr w:type="spellStart"/>
      <w:r>
        <w:rPr>
          <w:rFonts w:ascii="Times New Roman" w:hAnsi="Times New Roman" w:cs="Times New Roman"/>
          <w:i/>
          <w:iCs/>
        </w:rPr>
        <w:t>deutschen</w:t>
      </w:r>
      <w:proofErr w:type="spellEnd"/>
      <w:r>
        <w:rPr>
          <w:rFonts w:ascii="Times New Roman" w:hAnsi="Times New Roman" w:cs="Times New Roman"/>
          <w:i/>
          <w:iCs/>
        </w:rPr>
        <w:t xml:space="preserve"> </w:t>
      </w:r>
      <w:proofErr w:type="spellStart"/>
      <w:r>
        <w:rPr>
          <w:rFonts w:ascii="Times New Roman" w:hAnsi="Times New Roman" w:cs="Times New Roman"/>
          <w:i/>
          <w:iCs/>
        </w:rPr>
        <w:t>und</w:t>
      </w:r>
      <w:proofErr w:type="spellEnd"/>
      <w:r>
        <w:rPr>
          <w:rFonts w:ascii="Times New Roman" w:hAnsi="Times New Roman" w:cs="Times New Roman"/>
          <w:i/>
          <w:iCs/>
        </w:rPr>
        <w:t xml:space="preserve"> </w:t>
      </w:r>
      <w:proofErr w:type="spellStart"/>
      <w:r>
        <w:rPr>
          <w:rFonts w:ascii="Times New Roman" w:hAnsi="Times New Roman" w:cs="Times New Roman"/>
          <w:i/>
          <w:iCs/>
        </w:rPr>
        <w:t>schweizerischen</w:t>
      </w:r>
      <w:proofErr w:type="spellEnd"/>
      <w:r>
        <w:rPr>
          <w:rFonts w:ascii="Times New Roman" w:hAnsi="Times New Roman" w:cs="Times New Roman"/>
          <w:i/>
          <w:iCs/>
        </w:rPr>
        <w:t xml:space="preserve"> </w:t>
      </w:r>
      <w:proofErr w:type="spellStart"/>
      <w:r>
        <w:rPr>
          <w:rFonts w:ascii="Times New Roman" w:hAnsi="Times New Roman" w:cs="Times New Roman"/>
          <w:i/>
          <w:iCs/>
        </w:rPr>
        <w:t>Physikunterricht</w:t>
      </w:r>
      <w:proofErr w:type="spellEnd"/>
      <w:r>
        <w:rPr>
          <w:rFonts w:ascii="Times New Roman" w:hAnsi="Times New Roman" w:cs="Times New Roman"/>
          <w:i/>
          <w:iCs/>
        </w:rPr>
        <w:t xml:space="preserve"> – </w:t>
      </w:r>
      <w:proofErr w:type="spellStart"/>
      <w:r>
        <w:rPr>
          <w:rFonts w:ascii="Times New Roman" w:hAnsi="Times New Roman" w:cs="Times New Roman"/>
          <w:i/>
          <w:iCs/>
        </w:rPr>
        <w:t>eine</w:t>
      </w:r>
      <w:proofErr w:type="spellEnd"/>
      <w:r>
        <w:rPr>
          <w:rFonts w:ascii="Times New Roman" w:hAnsi="Times New Roman" w:cs="Times New Roman"/>
          <w:i/>
          <w:iCs/>
        </w:rPr>
        <w:t xml:space="preserve"> </w:t>
      </w:r>
      <w:proofErr w:type="spellStart"/>
      <w:r>
        <w:rPr>
          <w:rFonts w:ascii="Times New Roman" w:hAnsi="Times New Roman" w:cs="Times New Roman"/>
          <w:i/>
          <w:iCs/>
        </w:rPr>
        <w:t>Videostudie</w:t>
      </w:r>
      <w:proofErr w:type="spellEnd"/>
      <w:r>
        <w:rPr>
          <w:rFonts w:ascii="Times New Roman" w:hAnsi="Times New Roman" w:cs="Times New Roman"/>
          <w:i/>
          <w:iCs/>
        </w:rPr>
        <w:t xml:space="preserve"> </w:t>
      </w:r>
      <w:r>
        <w:rPr>
          <w:rFonts w:ascii="Times New Roman" w:hAnsi="Times New Roman" w:cs="Times New Roman"/>
        </w:rPr>
        <w:t xml:space="preserve">(Disertační práce). Kiel: IPN. </w:t>
      </w:r>
    </w:p>
    <w:p w14:paraId="55F3159F" w14:textId="77777777" w:rsidR="000B529C" w:rsidRDefault="000B529C" w:rsidP="000B529C">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Vlčková, K. (2010). </w:t>
      </w:r>
      <w:r>
        <w:rPr>
          <w:rFonts w:ascii="Times New Roman" w:hAnsi="Times New Roman" w:cs="Times New Roman"/>
          <w:i/>
          <w:iCs/>
          <w:sz w:val="24"/>
          <w:szCs w:val="24"/>
        </w:rPr>
        <w:t xml:space="preserve">Žákovské strategie učení cizímu jazyku ve všeobecném vzdělávání </w:t>
      </w:r>
      <w:r>
        <w:rPr>
          <w:rFonts w:ascii="Times New Roman" w:hAnsi="Times New Roman" w:cs="Times New Roman"/>
          <w:sz w:val="24"/>
          <w:szCs w:val="24"/>
        </w:rPr>
        <w:t>(Habilitační práce). Dostupné z http://is.muni.cz/do/rect/habilitace/1441/Vlckova/habilitace/HABILITACNI_PRACE_2010.pdf</w:t>
      </w:r>
    </w:p>
    <w:p w14:paraId="6991502C" w14:textId="77777777" w:rsidR="000B529C" w:rsidRDefault="000B529C" w:rsidP="000B529C">
      <w:pPr>
        <w:spacing w:after="0" w:line="240" w:lineRule="auto"/>
        <w:ind w:left="284" w:hanging="284"/>
        <w:rPr>
          <w:rFonts w:ascii="Times New Roman" w:hAnsi="Times New Roman" w:cs="Times New Roman"/>
          <w:b/>
          <w:sz w:val="24"/>
          <w:szCs w:val="24"/>
        </w:rPr>
      </w:pPr>
      <w:proofErr w:type="spellStart"/>
      <w:r>
        <w:rPr>
          <w:rFonts w:ascii="Times New Roman" w:hAnsi="Times New Roman" w:cs="Times New Roman"/>
          <w:sz w:val="24"/>
          <w:szCs w:val="24"/>
        </w:rPr>
        <w:t>Jacobs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Garnier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Gallimore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Hollingsworth</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Bogard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Givvion</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Rust</w:t>
      </w:r>
      <w:proofErr w:type="spellEnd"/>
      <w:r>
        <w:rPr>
          <w:rFonts w:ascii="Times New Roman" w:hAnsi="Times New Roman" w:cs="Times New Roman"/>
          <w:sz w:val="24"/>
          <w:szCs w:val="24"/>
        </w:rPr>
        <w:t xml:space="preserve">, K., … </w:t>
      </w:r>
      <w:proofErr w:type="spellStart"/>
      <w:r>
        <w:rPr>
          <w:rFonts w:ascii="Times New Roman" w:hAnsi="Times New Roman" w:cs="Times New Roman"/>
          <w:sz w:val="24"/>
          <w:szCs w:val="24"/>
        </w:rPr>
        <w:t>Gonzales</w:t>
      </w:r>
      <w:proofErr w:type="spellEnd"/>
      <w:r>
        <w:rPr>
          <w:rFonts w:ascii="Times New Roman" w:hAnsi="Times New Roman" w:cs="Times New Roman"/>
          <w:sz w:val="24"/>
          <w:szCs w:val="24"/>
        </w:rPr>
        <w:t xml:space="preserve">, P. (2003). </w:t>
      </w:r>
      <w:proofErr w:type="spellStart"/>
      <w:r>
        <w:rPr>
          <w:rFonts w:ascii="Times New Roman" w:hAnsi="Times New Roman" w:cs="Times New Roman"/>
          <w:i/>
          <w:iCs/>
          <w:sz w:val="24"/>
          <w:szCs w:val="24"/>
        </w:rPr>
        <w:t>Third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international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mathematics</w:t>
      </w:r>
      <w:proofErr w:type="spellEnd"/>
      <w:r>
        <w:rPr>
          <w:rFonts w:ascii="Times New Roman" w:hAnsi="Times New Roman" w:cs="Times New Roman"/>
          <w:i/>
          <w:iCs/>
          <w:sz w:val="24"/>
          <w:szCs w:val="24"/>
        </w:rPr>
        <w:t xml:space="preserve"> and science study 1999 video study </w:t>
      </w:r>
      <w:proofErr w:type="spellStart"/>
      <w:r>
        <w:rPr>
          <w:rFonts w:ascii="Times New Roman" w:hAnsi="Times New Roman" w:cs="Times New Roman"/>
          <w:i/>
          <w:iCs/>
          <w:sz w:val="24"/>
          <w:szCs w:val="24"/>
        </w:rPr>
        <w:t>technical</w:t>
      </w:r>
      <w:proofErr w:type="spellEnd"/>
      <w:r>
        <w:rPr>
          <w:rFonts w:ascii="Times New Roman" w:hAnsi="Times New Roman" w:cs="Times New Roman"/>
          <w:i/>
          <w:iCs/>
          <w:sz w:val="24"/>
          <w:szCs w:val="24"/>
        </w:rPr>
        <w:t xml:space="preserve"> report. </w:t>
      </w:r>
      <w:proofErr w:type="spellStart"/>
      <w:r>
        <w:rPr>
          <w:rFonts w:ascii="Times New Roman" w:hAnsi="Times New Roman" w:cs="Times New Roman"/>
          <w:i/>
          <w:iCs/>
          <w:sz w:val="24"/>
          <w:szCs w:val="24"/>
        </w:rPr>
        <w:t>Volume</w:t>
      </w:r>
      <w:proofErr w:type="spellEnd"/>
      <w:r>
        <w:rPr>
          <w:rFonts w:ascii="Times New Roman" w:hAnsi="Times New Roman" w:cs="Times New Roman"/>
          <w:i/>
          <w:iCs/>
          <w:sz w:val="24"/>
          <w:szCs w:val="24"/>
        </w:rPr>
        <w:t xml:space="preserve"> 1: </w:t>
      </w:r>
      <w:proofErr w:type="spellStart"/>
      <w:r>
        <w:rPr>
          <w:rFonts w:ascii="Times New Roman" w:hAnsi="Times New Roman" w:cs="Times New Roman"/>
          <w:i/>
          <w:iCs/>
          <w:sz w:val="24"/>
          <w:szCs w:val="24"/>
        </w:rPr>
        <w:t>Mathematics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Washington: </w:t>
      </w:r>
      <w:proofErr w:type="spellStart"/>
      <w:r>
        <w:rPr>
          <w:rFonts w:ascii="Times New Roman" w:hAnsi="Times New Roman" w:cs="Times New Roman"/>
          <w:sz w:val="24"/>
          <w:szCs w:val="24"/>
        </w:rPr>
        <w:t>National</w:t>
      </w:r>
      <w:proofErr w:type="spellEnd"/>
      <w:r>
        <w:rPr>
          <w:rFonts w:ascii="Times New Roman" w:hAnsi="Times New Roman" w:cs="Times New Roman"/>
          <w:sz w:val="24"/>
          <w:szCs w:val="24"/>
        </w:rPr>
        <w:t xml:space="preserve"> Center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Institute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Statistics</w:t>
      </w:r>
      <w:proofErr w:type="spellEnd"/>
      <w:r>
        <w:rPr>
          <w:rFonts w:ascii="Times New Roman" w:hAnsi="Times New Roman" w:cs="Times New Roman"/>
          <w:sz w:val="24"/>
          <w:szCs w:val="24"/>
        </w:rPr>
        <w:t xml:space="preserve">, U. S. Department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w:t>
      </w:r>
    </w:p>
    <w:p w14:paraId="72D94C09" w14:textId="77777777" w:rsidR="00EA4EDD" w:rsidRPr="005D5E57" w:rsidRDefault="00EA4EDD" w:rsidP="00DE7166">
      <w:pPr>
        <w:keepNext/>
        <w:spacing w:before="360" w:after="240" w:line="240" w:lineRule="auto"/>
        <w:rPr>
          <w:rFonts w:ascii="Times New Roman" w:hAnsi="Times New Roman" w:cs="Times New Roman"/>
          <w:b/>
          <w:sz w:val="24"/>
          <w:szCs w:val="24"/>
          <w:lang w:val="en-GB"/>
        </w:rPr>
      </w:pPr>
      <w:r w:rsidRPr="005D5E57">
        <w:rPr>
          <w:rFonts w:ascii="Times New Roman" w:hAnsi="Times New Roman" w:cs="Times New Roman"/>
          <w:b/>
          <w:sz w:val="24"/>
          <w:szCs w:val="24"/>
          <w:lang w:val="en-GB"/>
        </w:rPr>
        <w:lastRenderedPageBreak/>
        <w:t>Contact</w:t>
      </w:r>
    </w:p>
    <w:p w14:paraId="1546E18B" w14:textId="4958BA5F" w:rsidR="00EA4EDD" w:rsidRPr="005D5E57" w:rsidRDefault="00EA4EDD" w:rsidP="00C71A77">
      <w:pPr>
        <w:spacing w:after="0" w:line="240" w:lineRule="auto"/>
        <w:rPr>
          <w:rFonts w:ascii="Times New Roman" w:hAnsi="Times New Roman" w:cs="Times New Roman"/>
          <w:sz w:val="24"/>
          <w:szCs w:val="24"/>
          <w:lang w:val="en-GB"/>
        </w:rPr>
      </w:pPr>
      <w:r w:rsidRPr="005D5E57">
        <w:rPr>
          <w:rFonts w:ascii="Times New Roman" w:hAnsi="Times New Roman" w:cs="Times New Roman"/>
          <w:sz w:val="24"/>
          <w:szCs w:val="24"/>
          <w:lang w:val="en-GB"/>
        </w:rPr>
        <w:t>Full name of the fist aut</w:t>
      </w:r>
      <w:r w:rsidR="000B529C">
        <w:rPr>
          <w:rFonts w:ascii="Times New Roman" w:hAnsi="Times New Roman" w:cs="Times New Roman"/>
          <w:sz w:val="24"/>
          <w:szCs w:val="24"/>
          <w:lang w:val="en-GB"/>
        </w:rPr>
        <w:t>h</w:t>
      </w:r>
      <w:r w:rsidRPr="005D5E57">
        <w:rPr>
          <w:rFonts w:ascii="Times New Roman" w:hAnsi="Times New Roman" w:cs="Times New Roman"/>
          <w:sz w:val="24"/>
          <w:szCs w:val="24"/>
          <w:lang w:val="en-GB"/>
        </w:rPr>
        <w:t>or including all degrees</w:t>
      </w:r>
    </w:p>
    <w:p w14:paraId="663508AD" w14:textId="44237DF2" w:rsidR="000B529C" w:rsidRDefault="000B529C" w:rsidP="00C71A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Full name of i</w:t>
      </w:r>
      <w:r w:rsidRPr="005D5E57">
        <w:rPr>
          <w:rFonts w:ascii="Times New Roman" w:hAnsi="Times New Roman" w:cs="Times New Roman"/>
          <w:sz w:val="24"/>
          <w:szCs w:val="24"/>
          <w:lang w:val="en-GB"/>
        </w:rPr>
        <w:t>nstitution</w:t>
      </w:r>
      <w:r>
        <w:rPr>
          <w:rFonts w:ascii="Times New Roman" w:hAnsi="Times New Roman" w:cs="Times New Roman"/>
          <w:sz w:val="24"/>
          <w:szCs w:val="24"/>
          <w:lang w:val="en-GB"/>
        </w:rPr>
        <w:t xml:space="preserve"> where author works</w:t>
      </w:r>
    </w:p>
    <w:p w14:paraId="5B47571A" w14:textId="6BDF07A4" w:rsidR="00EA4EDD" w:rsidRPr="005D5E57" w:rsidRDefault="000B529C" w:rsidP="00C71A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Full addressee of i</w:t>
      </w:r>
      <w:r w:rsidR="00EA4EDD" w:rsidRPr="005D5E57">
        <w:rPr>
          <w:rFonts w:ascii="Times New Roman" w:hAnsi="Times New Roman" w:cs="Times New Roman"/>
          <w:sz w:val="24"/>
          <w:szCs w:val="24"/>
          <w:lang w:val="en-GB"/>
        </w:rPr>
        <w:t>nstitution</w:t>
      </w:r>
      <w:r>
        <w:rPr>
          <w:rFonts w:ascii="Times New Roman" w:hAnsi="Times New Roman" w:cs="Times New Roman"/>
          <w:sz w:val="24"/>
          <w:szCs w:val="24"/>
          <w:lang w:val="en-GB"/>
        </w:rPr>
        <w:t xml:space="preserve"> where author works</w:t>
      </w:r>
    </w:p>
    <w:p w14:paraId="300CA2EB" w14:textId="0AE72F20" w:rsidR="00EA4EDD" w:rsidRDefault="00EA4EDD" w:rsidP="00C71A77">
      <w:pPr>
        <w:spacing w:after="0" w:line="240" w:lineRule="auto"/>
        <w:rPr>
          <w:rFonts w:ascii="Times New Roman" w:hAnsi="Times New Roman" w:cs="Times New Roman"/>
          <w:sz w:val="24"/>
          <w:szCs w:val="24"/>
          <w:lang w:val="en-GB"/>
        </w:rPr>
      </w:pPr>
      <w:r w:rsidRPr="005D5E57">
        <w:rPr>
          <w:rFonts w:ascii="Times New Roman" w:hAnsi="Times New Roman" w:cs="Times New Roman"/>
          <w:sz w:val="24"/>
          <w:szCs w:val="24"/>
          <w:lang w:val="en-GB"/>
        </w:rPr>
        <w:t>E-mail</w:t>
      </w:r>
      <w:r w:rsidR="000B529C">
        <w:rPr>
          <w:rFonts w:ascii="Times New Roman" w:hAnsi="Times New Roman" w:cs="Times New Roman"/>
          <w:sz w:val="24"/>
          <w:szCs w:val="24"/>
          <w:lang w:val="en-GB"/>
        </w:rPr>
        <w:t xml:space="preserve"> for contacting the author</w:t>
      </w:r>
    </w:p>
    <w:p w14:paraId="62079685" w14:textId="6DC95445" w:rsidR="000B529C" w:rsidRPr="005D5E57" w:rsidRDefault="000B529C" w:rsidP="00C71A77">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0B529C">
        <w:rPr>
          <w:rFonts w:ascii="Times New Roman" w:hAnsi="Times New Roman" w:cs="Times New Roman"/>
          <w:i/>
          <w:sz w:val="24"/>
          <w:szCs w:val="24"/>
          <w:lang w:val="en-GB"/>
        </w:rPr>
        <w:t>Note: In case of multiple authors of the paper insert names of the authors in the order as inserted after the heading of the paper containing the abovementioned information about all authors.</w:t>
      </w:r>
      <w:r>
        <w:rPr>
          <w:rFonts w:ascii="Times New Roman" w:hAnsi="Times New Roman" w:cs="Times New Roman"/>
          <w:sz w:val="24"/>
          <w:szCs w:val="24"/>
          <w:lang w:val="en-GB"/>
        </w:rPr>
        <w:t>)</w:t>
      </w:r>
    </w:p>
    <w:p w14:paraId="6FD2ED88" w14:textId="77777777" w:rsidR="003060C1" w:rsidRPr="005D5E57" w:rsidRDefault="003060C1" w:rsidP="00C71A77">
      <w:pPr>
        <w:spacing w:after="0" w:line="240" w:lineRule="auto"/>
        <w:rPr>
          <w:sz w:val="24"/>
          <w:szCs w:val="24"/>
          <w:lang w:val="en-GB"/>
        </w:rPr>
      </w:pPr>
    </w:p>
    <w:sectPr w:rsidR="003060C1" w:rsidRPr="005D5E57" w:rsidSect="005D5E57">
      <w:head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7176E" w14:textId="77777777" w:rsidR="00E1367A" w:rsidRDefault="00E1367A" w:rsidP="00F4223C">
      <w:pPr>
        <w:spacing w:after="0" w:line="240" w:lineRule="auto"/>
      </w:pPr>
      <w:r>
        <w:separator/>
      </w:r>
    </w:p>
  </w:endnote>
  <w:endnote w:type="continuationSeparator" w:id="0">
    <w:p w14:paraId="4C9158EC" w14:textId="77777777" w:rsidR="00E1367A" w:rsidRDefault="00E1367A" w:rsidP="00F4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AA3F7" w14:textId="77777777" w:rsidR="00E1367A" w:rsidRDefault="00E1367A" w:rsidP="00F4223C">
      <w:pPr>
        <w:spacing w:after="0" w:line="240" w:lineRule="auto"/>
      </w:pPr>
      <w:r>
        <w:separator/>
      </w:r>
    </w:p>
  </w:footnote>
  <w:footnote w:type="continuationSeparator" w:id="0">
    <w:p w14:paraId="670387C8" w14:textId="77777777" w:rsidR="00E1367A" w:rsidRDefault="00E1367A" w:rsidP="00F42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91A0" w14:textId="48A9D952" w:rsidR="00F4223C" w:rsidRPr="005D5E57" w:rsidRDefault="00F4223C">
    <w:pPr>
      <w:pStyle w:val="Zhlav"/>
      <w:rPr>
        <w:rFonts w:ascii="Arial" w:hAnsi="Arial" w:cs="Arial"/>
        <w:b/>
        <w:lang w:val="en-GB"/>
      </w:rPr>
    </w:pPr>
    <w:r w:rsidRPr="005D5E57">
      <w:rPr>
        <w:rFonts w:ascii="Arial" w:hAnsi="Arial" w:cs="Arial"/>
        <w:b/>
        <w:lang w:val="en-GB"/>
      </w:rPr>
      <w:t>11th International Scientific Confe</w:t>
    </w:r>
    <w:r w:rsidR="00956339">
      <w:rPr>
        <w:rFonts w:ascii="Arial" w:hAnsi="Arial" w:cs="Arial"/>
        <w:b/>
        <w:lang w:val="en-GB"/>
      </w:rPr>
      <w:t>rence – Didactic Conference 2017</w:t>
    </w:r>
  </w:p>
  <w:p w14:paraId="4E36BB89" w14:textId="42A66BD7" w:rsidR="00DE7166" w:rsidRDefault="00F4223C">
    <w:pPr>
      <w:pStyle w:val="Zhlav"/>
      <w:pBdr>
        <w:bottom w:val="single" w:sz="6" w:space="1" w:color="auto"/>
      </w:pBdr>
      <w:rPr>
        <w:rFonts w:ascii="Arial" w:hAnsi="Arial" w:cs="Arial"/>
        <w:sz w:val="20"/>
        <w:szCs w:val="20"/>
        <w:lang w:val="en-GB"/>
      </w:rPr>
    </w:pPr>
    <w:r w:rsidRPr="005D5E57">
      <w:rPr>
        <w:rFonts w:ascii="Arial" w:hAnsi="Arial" w:cs="Arial"/>
        <w:sz w:val="20"/>
        <w:szCs w:val="20"/>
        <w:lang w:val="en-GB"/>
      </w:rPr>
      <w:t>June 1</w:t>
    </w:r>
    <w:r w:rsidRPr="005D5E57">
      <w:rPr>
        <w:rFonts w:ascii="Arial" w:hAnsi="Arial" w:cs="Arial"/>
        <w:sz w:val="20"/>
        <w:szCs w:val="20"/>
        <w:vertAlign w:val="superscript"/>
        <w:lang w:val="en-GB"/>
      </w:rPr>
      <w:t>st</w:t>
    </w:r>
    <w:r w:rsidRPr="005D5E57">
      <w:rPr>
        <w:rFonts w:ascii="Arial" w:hAnsi="Arial" w:cs="Arial"/>
        <w:sz w:val="20"/>
        <w:szCs w:val="20"/>
        <w:lang w:val="en-GB"/>
      </w:rPr>
      <w:t xml:space="preserve"> and 2</w:t>
    </w:r>
    <w:r w:rsidRPr="005D5E57">
      <w:rPr>
        <w:rFonts w:ascii="Arial" w:hAnsi="Arial" w:cs="Arial"/>
        <w:sz w:val="20"/>
        <w:szCs w:val="20"/>
        <w:vertAlign w:val="superscript"/>
        <w:lang w:val="en-GB"/>
      </w:rPr>
      <w:t>nd</w:t>
    </w:r>
    <w:r w:rsidRPr="005D5E57">
      <w:rPr>
        <w:rFonts w:ascii="Arial" w:hAnsi="Arial" w:cs="Arial"/>
        <w:sz w:val="20"/>
        <w:szCs w:val="20"/>
        <w:lang w:val="en-GB"/>
      </w:rPr>
      <w:t xml:space="preserve"> 2017 / Brno</w:t>
    </w:r>
    <w:r w:rsidR="00DE7166">
      <w:rPr>
        <w:rFonts w:ascii="Arial" w:hAnsi="Arial" w:cs="Arial"/>
        <w:sz w:val="20"/>
        <w:szCs w:val="20"/>
        <w:lang w:val="en-GB"/>
      </w:rPr>
      <w:t>, Czech Republic</w:t>
    </w:r>
  </w:p>
  <w:p w14:paraId="67C1B500" w14:textId="77777777" w:rsidR="00DE7166" w:rsidRPr="00DE7166" w:rsidRDefault="00DE7166">
    <w:pPr>
      <w:pStyle w:val="Zhlav"/>
      <w:rPr>
        <w:rFonts w:ascii="Arial" w:hAnsi="Arial" w:cs="Arial"/>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4D"/>
    <w:rsid w:val="000B529C"/>
    <w:rsid w:val="00102F42"/>
    <w:rsid w:val="003060C1"/>
    <w:rsid w:val="004B23EB"/>
    <w:rsid w:val="00556E2F"/>
    <w:rsid w:val="005A12B1"/>
    <w:rsid w:val="005D5E57"/>
    <w:rsid w:val="005E7E99"/>
    <w:rsid w:val="00626485"/>
    <w:rsid w:val="00644835"/>
    <w:rsid w:val="006C6F83"/>
    <w:rsid w:val="006F3D5F"/>
    <w:rsid w:val="008D1808"/>
    <w:rsid w:val="008D4525"/>
    <w:rsid w:val="00956339"/>
    <w:rsid w:val="00A67A2F"/>
    <w:rsid w:val="00AE4748"/>
    <w:rsid w:val="00BC3C13"/>
    <w:rsid w:val="00BF3BF9"/>
    <w:rsid w:val="00C71A77"/>
    <w:rsid w:val="00CF493F"/>
    <w:rsid w:val="00D31E0C"/>
    <w:rsid w:val="00DE7166"/>
    <w:rsid w:val="00E1367A"/>
    <w:rsid w:val="00E32038"/>
    <w:rsid w:val="00EA4EDD"/>
    <w:rsid w:val="00F4223C"/>
    <w:rsid w:val="00F813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73B2"/>
  <w15:chartTrackingRefBased/>
  <w15:docId w15:val="{7167B730-94C3-4FFB-8007-76C05DCF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22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223C"/>
  </w:style>
  <w:style w:type="paragraph" w:styleId="Zpat">
    <w:name w:val="footer"/>
    <w:basedOn w:val="Normln"/>
    <w:link w:val="ZpatChar"/>
    <w:uiPriority w:val="99"/>
    <w:unhideWhenUsed/>
    <w:rsid w:val="00F4223C"/>
    <w:pPr>
      <w:tabs>
        <w:tab w:val="center" w:pos="4536"/>
        <w:tab w:val="right" w:pos="9072"/>
      </w:tabs>
      <w:spacing w:after="0" w:line="240" w:lineRule="auto"/>
    </w:pPr>
  </w:style>
  <w:style w:type="character" w:customStyle="1" w:styleId="ZpatChar">
    <w:name w:val="Zápatí Char"/>
    <w:basedOn w:val="Standardnpsmoodstavce"/>
    <w:link w:val="Zpat"/>
    <w:uiPriority w:val="99"/>
    <w:rsid w:val="00F4223C"/>
  </w:style>
  <w:style w:type="paragraph" w:customStyle="1" w:styleId="Default">
    <w:name w:val="Default"/>
    <w:rsid w:val="000B52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3858">
      <w:bodyDiv w:val="1"/>
      <w:marLeft w:val="0"/>
      <w:marRight w:val="0"/>
      <w:marTop w:val="0"/>
      <w:marBottom w:val="0"/>
      <w:divBdr>
        <w:top w:val="none" w:sz="0" w:space="0" w:color="auto"/>
        <w:left w:val="none" w:sz="0" w:space="0" w:color="auto"/>
        <w:bottom w:val="none" w:sz="0" w:space="0" w:color="auto"/>
        <w:right w:val="none" w:sz="0" w:space="0" w:color="auto"/>
      </w:divBdr>
    </w:div>
    <w:div w:id="21049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2253-0D6B-478E-8247-2A9C733C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7198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marinic.peter@gmail.com</dc:creator>
  <cp:keywords/>
  <dc:description/>
  <cp:lastModifiedBy>Peter Marinič</cp:lastModifiedBy>
  <cp:revision>3</cp:revision>
  <dcterms:created xsi:type="dcterms:W3CDTF">2017-03-28T08:25:00Z</dcterms:created>
  <dcterms:modified xsi:type="dcterms:W3CDTF">2017-03-28T10:56:00Z</dcterms:modified>
</cp:coreProperties>
</file>